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proofErr w:type="spellStart"/>
            <w:r>
              <w:rPr>
                <w:b/>
                <w:bCs/>
                <w:sz w:val="28"/>
                <w:szCs w:val="28"/>
              </w:rPr>
              <w:t>Динскому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bCs/>
                <w:sz w:val="28"/>
                <w:szCs w:val="28"/>
              </w:rPr>
              <w:t>Калининскому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746F7A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Красноармейскому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районам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746F7A">
              <w:rPr>
                <w:bCs/>
                <w:sz w:val="28"/>
                <w:szCs w:val="28"/>
              </w:rPr>
              <w:t>8(86165)5-09-70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078FE" w:rsidRPr="00D078FE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D078FE">
        <w:rPr>
          <w:rFonts w:ascii="Times New Roman" w:eastAsiaTheme="minorHAnsi" w:hAnsi="Times New Roman"/>
          <w:b/>
          <w:sz w:val="28"/>
          <w:lang w:eastAsia="en-US"/>
        </w:rPr>
        <w:t>Первые квитанции на оплату капитального ремонта многоквартирных домов.</w:t>
      </w:r>
    </w:p>
    <w:p w:rsidR="00D078FE" w:rsidRPr="00D078FE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D078FE" w:rsidRPr="00D078FE" w:rsidRDefault="00D078FE" w:rsidP="00D078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D078FE">
        <w:rPr>
          <w:rFonts w:ascii="Times New Roman" w:eastAsiaTheme="minorHAnsi" w:hAnsi="Times New Roman"/>
          <w:sz w:val="28"/>
          <w:lang w:eastAsia="en-US"/>
        </w:rPr>
        <w:t xml:space="preserve">До 5 декабря 2014 года собственники помещений в многоквартирных домах, включенных в региональную программу, которые выбрали способ формирования фонда капитального ремонта на счете регионального оператора, получат счета-квитанции для внесения взносов на капитальный ремонт. Данные платежные документы будут доставляться собственникам в </w:t>
      </w:r>
      <w:proofErr w:type="spellStart"/>
      <w:r w:rsidRPr="00D078FE">
        <w:rPr>
          <w:rFonts w:ascii="Times New Roman" w:eastAsiaTheme="minorHAnsi" w:hAnsi="Times New Roman"/>
          <w:sz w:val="28"/>
          <w:lang w:eastAsia="en-US"/>
        </w:rPr>
        <w:t>конвертованном</w:t>
      </w:r>
      <w:proofErr w:type="spellEnd"/>
      <w:r w:rsidRPr="00D078FE">
        <w:rPr>
          <w:rFonts w:ascii="Times New Roman" w:eastAsiaTheme="minorHAnsi" w:hAnsi="Times New Roman"/>
          <w:sz w:val="28"/>
          <w:lang w:eastAsia="en-US"/>
        </w:rPr>
        <w:t xml:space="preserve"> виде непосредственно в почтовые ящики.</w:t>
      </w:r>
    </w:p>
    <w:p w:rsidR="00D078FE" w:rsidRPr="00D078FE" w:rsidRDefault="00D078FE" w:rsidP="00746F7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D078FE">
        <w:rPr>
          <w:rFonts w:ascii="Times New Roman" w:eastAsiaTheme="minorHAnsi" w:hAnsi="Times New Roman"/>
          <w:sz w:val="28"/>
          <w:lang w:eastAsia="en-US"/>
        </w:rPr>
        <w:t>Расчет суммы взносов первой квитанции за капитальный ремонт был произведен на основании имеющейся информации о площадях квартир собственников. В случае обнаружения неверной информации в квитанции просим обращаться в территориальны</w:t>
      </w:r>
      <w:r w:rsidR="00335BCE">
        <w:rPr>
          <w:rFonts w:ascii="Times New Roman" w:eastAsiaTheme="minorHAnsi" w:hAnsi="Times New Roman"/>
          <w:sz w:val="28"/>
          <w:lang w:eastAsia="en-US"/>
        </w:rPr>
        <w:t>й отдел</w:t>
      </w:r>
      <w:r w:rsidRPr="00D078F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№ </w:t>
      </w:r>
      <w:r w:rsidR="00746F7A" w:rsidRPr="00746F7A">
        <w:rPr>
          <w:rFonts w:ascii="Times New Roman" w:eastAsiaTheme="minorHAnsi" w:hAnsi="Times New Roman"/>
          <w:sz w:val="28"/>
          <w:lang w:eastAsia="en-US"/>
        </w:rPr>
        <w:t>№</w:t>
      </w:r>
      <w:r w:rsidR="00746F7A">
        <w:rPr>
          <w:rFonts w:ascii="Times New Roman" w:eastAsiaTheme="minorHAnsi" w:hAnsi="Times New Roman"/>
          <w:sz w:val="28"/>
          <w:lang w:eastAsia="en-US"/>
        </w:rPr>
        <w:t xml:space="preserve"> 24 по </w:t>
      </w:r>
      <w:proofErr w:type="spellStart"/>
      <w:r w:rsidR="00746F7A">
        <w:rPr>
          <w:rFonts w:ascii="Times New Roman" w:eastAsiaTheme="minorHAnsi" w:hAnsi="Times New Roman"/>
          <w:sz w:val="28"/>
          <w:lang w:eastAsia="en-US"/>
        </w:rPr>
        <w:t>Динскому</w:t>
      </w:r>
      <w:proofErr w:type="spellEnd"/>
      <w:r w:rsidR="00746F7A">
        <w:rPr>
          <w:rFonts w:ascii="Times New Roman" w:eastAsiaTheme="minorHAnsi" w:hAnsi="Times New Roman"/>
          <w:sz w:val="28"/>
          <w:lang w:eastAsia="en-US"/>
        </w:rPr>
        <w:t xml:space="preserve">, Калининскому, </w:t>
      </w:r>
      <w:r w:rsidR="00746F7A" w:rsidRPr="00746F7A">
        <w:rPr>
          <w:rFonts w:ascii="Times New Roman" w:eastAsiaTheme="minorHAnsi" w:hAnsi="Times New Roman"/>
          <w:sz w:val="28"/>
          <w:lang w:eastAsia="en-US"/>
        </w:rPr>
        <w:t>Красноармейскому районам</w:t>
      </w:r>
      <w:r w:rsidR="00746F7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D078FE">
        <w:rPr>
          <w:rFonts w:ascii="Times New Roman" w:eastAsiaTheme="minorHAnsi" w:hAnsi="Times New Roman"/>
          <w:sz w:val="28"/>
          <w:lang w:eastAsia="en-US"/>
        </w:rPr>
        <w:t>НКО «Фонд капитального ремонта МКД»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, расположенный по адресу </w:t>
      </w:r>
      <w:r w:rsidR="00746F7A" w:rsidRPr="00746F7A">
        <w:rPr>
          <w:rFonts w:ascii="Times New Roman" w:eastAsiaTheme="minorHAnsi" w:hAnsi="Times New Roman"/>
          <w:sz w:val="28"/>
          <w:lang w:eastAsia="en-US"/>
        </w:rPr>
        <w:t>ст. Динская, ул. Красная, 12, оф. 9,10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, контактный телефон </w:t>
      </w:r>
      <w:r w:rsidR="00746F7A" w:rsidRPr="00746F7A">
        <w:rPr>
          <w:rFonts w:ascii="Times New Roman" w:eastAsiaTheme="minorHAnsi" w:hAnsi="Times New Roman"/>
          <w:sz w:val="28"/>
          <w:lang w:eastAsia="en-US"/>
        </w:rPr>
        <w:t>8(86165)5-09-70</w:t>
      </w:r>
      <w:r w:rsidR="00335BCE">
        <w:rPr>
          <w:rFonts w:ascii="Times New Roman" w:eastAsiaTheme="minorHAnsi" w:hAnsi="Times New Roman"/>
          <w:sz w:val="28"/>
          <w:lang w:eastAsia="en-US"/>
        </w:rPr>
        <w:t>,</w:t>
      </w:r>
      <w:r w:rsidR="00746F7A">
        <w:rPr>
          <w:rFonts w:ascii="Times New Roman" w:eastAsiaTheme="minorHAnsi" w:hAnsi="Times New Roman"/>
          <w:sz w:val="28"/>
          <w:lang w:eastAsia="en-US"/>
        </w:rPr>
        <w:t xml:space="preserve"> 8(86165)5-09-71</w:t>
      </w:r>
      <w:bookmarkStart w:id="0" w:name="_GoBack"/>
      <w:bookmarkEnd w:id="0"/>
      <w:r w:rsidRPr="00D078FE">
        <w:rPr>
          <w:rFonts w:ascii="Times New Roman" w:eastAsiaTheme="minorHAnsi" w:hAnsi="Times New Roman"/>
          <w:sz w:val="28"/>
          <w:lang w:eastAsia="en-US"/>
        </w:rPr>
        <w:t xml:space="preserve"> с заявлением и подтверждающими документами. После предоставления подтверждающих документов неактуальные данные будут изменены, при необходимости будет произведен перерасчет. </w:t>
      </w:r>
    </w:p>
    <w:p w:rsidR="00D078FE" w:rsidRDefault="00D078FE" w:rsidP="00D078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D078FE">
        <w:rPr>
          <w:rFonts w:ascii="Times New Roman" w:eastAsiaTheme="minorHAnsi" w:hAnsi="Times New Roman"/>
          <w:sz w:val="28"/>
          <w:lang w:eastAsia="en-US"/>
        </w:rPr>
        <w:t xml:space="preserve">В 2014 году пеня за несвоевременную оплату взносов начисляться не будет. </w:t>
      </w:r>
    </w:p>
    <w:p w:rsidR="00D078FE" w:rsidRPr="00D078FE" w:rsidRDefault="0001235A" w:rsidP="00D078F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161551CD" wp14:editId="4AEFD188">
            <wp:extent cx="5703442" cy="3233319"/>
            <wp:effectExtent l="0" t="0" r="0" b="571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12" cy="3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FE" w:rsidRPr="00D078FE" w:rsidRDefault="00D078FE" w:rsidP="00D078FE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организаций, в которых можно оплатить квитанцию на капитальный ремонт: ФГУП «ПОЧТА РОССИИ», ОАО «СБЕРБАНК»,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Россельхозбанк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ООО КУБАНЬ КРЕДИТ БАНК, ОАО «Банк Москвы», ОАО КРАЙИНВЕСТБАНК, Банк «Первомайский» (ЗАО),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ОАО «АК БАРС» Банк, ЗАО «Банк 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ЖилФинанс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 КБ «ВНЕШФИНБАНК», ООО «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Газтрансбанк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ООО «ЗЕМКОМБАНК», ОАО «И.Д.Е.А. Банк», АКБ «Крыловский» (ОАО), ЗАО КБ «КЕДР»,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ЗАО «Кубанский торговый банк», ООО КБ «ИНТЕРКОММЕРЦ»,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«Национальный банк развития бизнеса», ООО КБ «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Новопокровский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», ООО КБ «ОПМ-Банк», ОАО «СМП Банк», ООО «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УралКапиталБанк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Филиал «Кубань», ЗАО АКБ «ЭКСПРЕСС-ВОЛГА», ООО </w:t>
      </w:r>
      <w:proofErr w:type="spellStart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>Ейский</w:t>
      </w:r>
      <w:proofErr w:type="spellEnd"/>
      <w:r w:rsidRPr="00D07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информационный расчетный центр».</w:t>
      </w:r>
    </w:p>
    <w:p w:rsidR="00B813D9" w:rsidRPr="00184C0A" w:rsidRDefault="00B813D9" w:rsidP="00184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5B" w:rsidRPr="00184C0A" w:rsidRDefault="0063305B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63305B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335BCE"/>
    <w:rsid w:val="003B398D"/>
    <w:rsid w:val="00402E5F"/>
    <w:rsid w:val="004536EE"/>
    <w:rsid w:val="0059797F"/>
    <w:rsid w:val="0063305B"/>
    <w:rsid w:val="0066682D"/>
    <w:rsid w:val="006860DD"/>
    <w:rsid w:val="00746F7A"/>
    <w:rsid w:val="007A2ECA"/>
    <w:rsid w:val="008109CE"/>
    <w:rsid w:val="00862C97"/>
    <w:rsid w:val="00872871"/>
    <w:rsid w:val="009022FC"/>
    <w:rsid w:val="00B41496"/>
    <w:rsid w:val="00B813D9"/>
    <w:rsid w:val="00C929A9"/>
    <w:rsid w:val="00D078FE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5</cp:revision>
  <cp:lastPrinted>2014-11-25T09:44:00Z</cp:lastPrinted>
  <dcterms:created xsi:type="dcterms:W3CDTF">2014-11-28T07:37:00Z</dcterms:created>
  <dcterms:modified xsi:type="dcterms:W3CDTF">2014-11-28T08:05:00Z</dcterms:modified>
</cp:coreProperties>
</file>