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C1" w:rsidRDefault="00E97C11" w:rsidP="00AF46C1">
      <w:pPr>
        <w:jc w:val="both"/>
        <w:rPr>
          <w:sz w:val="32"/>
          <w:szCs w:val="32"/>
        </w:rPr>
      </w:pPr>
      <w:r w:rsidRPr="004E4FF0">
        <w:rPr>
          <w:sz w:val="32"/>
          <w:szCs w:val="32"/>
        </w:rPr>
        <w:t xml:space="preserve">                       </w:t>
      </w:r>
    </w:p>
    <w:p w:rsidR="00AF46C1" w:rsidRPr="00B72884" w:rsidRDefault="00AF46C1" w:rsidP="00AF46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B72884">
        <w:rPr>
          <w:b/>
          <w:sz w:val="28"/>
          <w:szCs w:val="28"/>
        </w:rPr>
        <w:t xml:space="preserve">ДОКЛАД </w:t>
      </w:r>
    </w:p>
    <w:p w:rsidR="00AF46C1" w:rsidRPr="00B72884" w:rsidRDefault="00AF46C1" w:rsidP="00AF46C1">
      <w:pPr>
        <w:jc w:val="both"/>
        <w:rPr>
          <w:b/>
          <w:sz w:val="28"/>
          <w:szCs w:val="28"/>
        </w:rPr>
      </w:pPr>
    </w:p>
    <w:p w:rsidR="00AF46C1" w:rsidRDefault="00AF46C1" w:rsidP="00AF46C1">
      <w:pPr>
        <w:jc w:val="center"/>
        <w:rPr>
          <w:b/>
          <w:sz w:val="28"/>
          <w:szCs w:val="28"/>
        </w:rPr>
      </w:pPr>
      <w:r w:rsidRPr="00B72884">
        <w:rPr>
          <w:b/>
          <w:sz w:val="28"/>
          <w:szCs w:val="28"/>
        </w:rPr>
        <w:t>главы Полтавского сельского поселения Красноармейского района</w:t>
      </w:r>
    </w:p>
    <w:p w:rsidR="00AF46C1" w:rsidRDefault="00AF46C1" w:rsidP="00652BD7">
      <w:pPr>
        <w:jc w:val="center"/>
        <w:rPr>
          <w:b/>
          <w:sz w:val="28"/>
          <w:szCs w:val="28"/>
        </w:rPr>
      </w:pPr>
      <w:r w:rsidRPr="00B72884">
        <w:rPr>
          <w:b/>
          <w:sz w:val="28"/>
          <w:szCs w:val="28"/>
        </w:rPr>
        <w:t xml:space="preserve">  </w:t>
      </w:r>
      <w:r w:rsidR="00854CD3">
        <w:rPr>
          <w:b/>
          <w:sz w:val="28"/>
          <w:szCs w:val="28"/>
        </w:rPr>
        <w:t>на открытой сессии Совета полтавского сельского поселения</w:t>
      </w:r>
    </w:p>
    <w:p w:rsidR="00854CD3" w:rsidRPr="00B72884" w:rsidRDefault="00854CD3" w:rsidP="00652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Красноармейского района 1 марта 2016 года </w:t>
      </w:r>
    </w:p>
    <w:p w:rsidR="00AF46C1" w:rsidRDefault="00AF46C1" w:rsidP="00AF46C1">
      <w:pPr>
        <w:jc w:val="both"/>
        <w:rPr>
          <w:sz w:val="32"/>
          <w:szCs w:val="32"/>
        </w:rPr>
      </w:pPr>
    </w:p>
    <w:p w:rsidR="003C644B" w:rsidRPr="00AF46C1" w:rsidRDefault="003C644B" w:rsidP="003C644B">
      <w:pPr>
        <w:jc w:val="center"/>
        <w:rPr>
          <w:b/>
          <w:sz w:val="32"/>
          <w:szCs w:val="32"/>
        </w:rPr>
      </w:pPr>
      <w:r w:rsidRPr="00AF46C1">
        <w:rPr>
          <w:b/>
          <w:sz w:val="32"/>
          <w:szCs w:val="32"/>
        </w:rPr>
        <w:t xml:space="preserve">Уважаемые </w:t>
      </w:r>
      <w:r>
        <w:rPr>
          <w:b/>
          <w:sz w:val="32"/>
          <w:szCs w:val="32"/>
        </w:rPr>
        <w:t>депутаты!</w:t>
      </w:r>
    </w:p>
    <w:p w:rsidR="003C644B" w:rsidRPr="004E4FF0" w:rsidRDefault="003C644B" w:rsidP="003C644B">
      <w:pPr>
        <w:jc w:val="both"/>
        <w:rPr>
          <w:sz w:val="32"/>
          <w:szCs w:val="32"/>
        </w:rPr>
      </w:pPr>
    </w:p>
    <w:p w:rsidR="003C644B" w:rsidRDefault="003C644B" w:rsidP="003C644B">
      <w:pPr>
        <w:ind w:firstLine="709"/>
        <w:jc w:val="both"/>
        <w:rPr>
          <w:sz w:val="32"/>
          <w:szCs w:val="32"/>
        </w:rPr>
      </w:pPr>
      <w:r w:rsidRPr="004E4FF0">
        <w:rPr>
          <w:sz w:val="32"/>
          <w:szCs w:val="32"/>
        </w:rPr>
        <w:t>Представляю</w:t>
      </w:r>
      <w:r>
        <w:rPr>
          <w:sz w:val="32"/>
          <w:szCs w:val="32"/>
        </w:rPr>
        <w:t xml:space="preserve"> вам отчет о работе администрации Полтавского сельского поселения за 2015 год. </w:t>
      </w:r>
    </w:p>
    <w:p w:rsidR="003C644B" w:rsidRDefault="003C644B" w:rsidP="003C644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Для того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чтобы увидеть особенности минувшего года, предлагаю посмотреть на слайд № 1, где представлена информация о доходах и расходах бюджета Полтавского сельского поселения за последние 5 лет. На слайде видно, что доходы получены ниже, чем за предыдущие 3 года, а расходы сложились самыми высокими за представленные годы.</w:t>
      </w:r>
    </w:p>
    <w:p w:rsidR="003C644B" w:rsidRDefault="003C644B" w:rsidP="003C644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Собственные доходы (налоговые и неналоговые) в 2015 году составили 79422,9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уб., исполнены на 101,7 % в разрезе всех статей.</w:t>
      </w:r>
    </w:p>
    <w:p w:rsidR="003C644B" w:rsidRDefault="003C644B" w:rsidP="003C644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Структура доходов сложилась следующим образом (слайд № 2). На слайде видно, что основную долю в структуре доходов имеют два источника доходов – это НДФЛ (налог на доходы физических лиц) 46,3% и земельный налог -  33,8%. Третьим по величине источником являются акцизы на нефтепродукты - 8,8 %. Затем следует налог на имущество физических лиц – 8,7 %.</w:t>
      </w:r>
    </w:p>
    <w:p w:rsidR="003C644B" w:rsidRDefault="003C644B" w:rsidP="003C644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Прочие доходы составляют 2,4 %.</w:t>
      </w:r>
    </w:p>
    <w:p w:rsidR="003C644B" w:rsidRDefault="003C644B" w:rsidP="003C644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Приведенная выше структура доходов еще раз говорит о необходимости легализации занятости населения. Численность трудоспособного населения, проживающего на территории станицы Полтавской, составляет 14 950 человек. Если взять в расчет, что НДФЛ уплатили 8 100  человек, занятых в экономике, то получается, что 6 850 человек, не уплачивающих НДФЛ при минимальной зарплате 10 086 руб., могли бы дополнительно принести в доходную часть бюджета поселения 14 011 269 руб.</w:t>
      </w:r>
    </w:p>
    <w:p w:rsidR="00345529" w:rsidRDefault="00345529" w:rsidP="00345529">
      <w:pPr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Темп роста налоговых и неналоговых доходов составил 71,4 %. Отсутствие роста доходов в 2015 году получено по причине влияния разовых платежей предыдущего года по штрафным санкциям в сумме 28,3 млн. руб., а также потери поступлений по арендной плате в </w:t>
      </w:r>
      <w:r>
        <w:rPr>
          <w:sz w:val="32"/>
          <w:szCs w:val="32"/>
        </w:rPr>
        <w:lastRenderedPageBreak/>
        <w:t>размере  7 086 469,51  руб., в результате произошедших накануне изменений в налоговом законодательстве, а также 1 082 525,5 – доход от продажи земельных</w:t>
      </w:r>
      <w:proofErr w:type="gramEnd"/>
      <w:r>
        <w:rPr>
          <w:sz w:val="32"/>
          <w:szCs w:val="32"/>
        </w:rPr>
        <w:t xml:space="preserve"> участков.</w:t>
      </w:r>
    </w:p>
    <w:p w:rsidR="00345529" w:rsidRDefault="00345529" w:rsidP="0034552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Несмотря на то, что удельный вес недоимки у нас ниже краевого </w:t>
      </w:r>
      <w:proofErr w:type="spellStart"/>
      <w:r>
        <w:rPr>
          <w:sz w:val="32"/>
          <w:szCs w:val="32"/>
        </w:rPr>
        <w:t>среднепоселенческого</w:t>
      </w:r>
      <w:proofErr w:type="spellEnd"/>
      <w:r>
        <w:rPr>
          <w:sz w:val="32"/>
          <w:szCs w:val="32"/>
        </w:rPr>
        <w:t xml:space="preserve"> уровня (9,3 %), и составляет 7,5 %, в абсолютном выражении это внушительные цифры. Только по налогу на имущество и земельному налогу с физических лиц недоимка с пеней на 1 марта 2016 года составляет 4 455,01 тыс. руб.</w:t>
      </w:r>
    </w:p>
    <w:p w:rsidR="00345529" w:rsidRDefault="00345529" w:rsidP="0034552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январе и феврале текущего года собрано </w:t>
      </w:r>
      <w:r w:rsidR="004218BB">
        <w:rPr>
          <w:sz w:val="32"/>
          <w:szCs w:val="32"/>
        </w:rPr>
        <w:t>482,75</w:t>
      </w:r>
      <w:r>
        <w:rPr>
          <w:sz w:val="32"/>
          <w:szCs w:val="32"/>
        </w:rPr>
        <w:t xml:space="preserve"> тыс. </w:t>
      </w:r>
      <w:r w:rsidR="004218BB">
        <w:rPr>
          <w:sz w:val="32"/>
          <w:szCs w:val="32"/>
        </w:rPr>
        <w:t xml:space="preserve">руб. </w:t>
      </w:r>
      <w:r>
        <w:rPr>
          <w:sz w:val="32"/>
          <w:szCs w:val="32"/>
        </w:rPr>
        <w:t>недоимки.</w:t>
      </w:r>
    </w:p>
    <w:p w:rsidR="009470B6" w:rsidRDefault="009470B6" w:rsidP="009470B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Учитывая важность вовлечения этого резерва в бюджет поселения, еженедельно проводим заседания межведомственной комиссии по вопросу уплаты налоговых и неналоговых платежей.</w:t>
      </w:r>
    </w:p>
    <w:p w:rsidR="009470B6" w:rsidRDefault="009470B6" w:rsidP="009470B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Утвержден график снижения недоимки на 2016 год, в соответствии с которым с марта по июль включительно недоимка по налогу на имущество и земельному налогу с физических лиц должна быть сокращена не менее, чем на 1 780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уб., т.е. на 40 %.</w:t>
      </w:r>
    </w:p>
    <w:p w:rsidR="009470B6" w:rsidRDefault="009470B6" w:rsidP="009470B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Другим существенным резервом пополнения бюджета поселения, тем более в нынешних экономических условиях, должно стать бесхозное имущество. За период с 2010 года от реализации данного имущества получен доход в размере 326 790,18 руб. при затратах на оформление 14 294,20 руб., хотя цифра дохода должна быть в разы больше.</w:t>
      </w:r>
    </w:p>
    <w:p w:rsidR="009470B6" w:rsidRDefault="009470B6" w:rsidP="009470B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еще об одном. По состоянию на 1 марта 2016 года в станице Полтавской имеется 136 многоквартирных домов (МКД). Из них 25 МКД поставили на кадастровый учет земельный </w:t>
      </w:r>
      <w:proofErr w:type="gramStart"/>
      <w:r>
        <w:rPr>
          <w:sz w:val="32"/>
          <w:szCs w:val="32"/>
        </w:rPr>
        <w:t>участок</w:t>
      </w:r>
      <w:proofErr w:type="gramEnd"/>
      <w:r>
        <w:rPr>
          <w:sz w:val="32"/>
          <w:szCs w:val="32"/>
        </w:rPr>
        <w:t xml:space="preserve"> и собственники жилых помещений зарегистрировали свое право </w:t>
      </w:r>
      <w:proofErr w:type="spellStart"/>
      <w:r>
        <w:rPr>
          <w:sz w:val="32"/>
          <w:szCs w:val="32"/>
        </w:rPr>
        <w:t>общедолевой</w:t>
      </w:r>
      <w:proofErr w:type="spellEnd"/>
      <w:r>
        <w:rPr>
          <w:sz w:val="32"/>
          <w:szCs w:val="32"/>
        </w:rPr>
        <w:t xml:space="preserve"> собственности на данный земельный участок. По 79 МКД земельный участок поставлен на кадастровый учет, но право в ЕГРП не зарегистрировано. </w:t>
      </w:r>
      <w:proofErr w:type="gramStart"/>
      <w:r>
        <w:rPr>
          <w:sz w:val="32"/>
          <w:szCs w:val="32"/>
        </w:rPr>
        <w:t>Жители 32 домов не установили точные границы земельного участка, предназначенного для размещения МКД (из них по трем домам земельный участок вообще не стоит на кадастровом учете как ранее учтенный: ул. Интернациональная, 57, ул. Интернациональная, 99, пер. Л.Толстого, 1.</w:t>
      </w:r>
      <w:proofErr w:type="gramEnd"/>
    </w:p>
    <w:p w:rsidR="009470B6" w:rsidRDefault="009470B6" w:rsidP="009470B6">
      <w:pPr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По шести домам неверно установлен вид разрешенного использования земельного участка: ул. Красная, 102, ул. Ленина, 148, ул. Красноармейская, 152, ул. Красноармейская, 154-ЛПХ, ул. </w:t>
      </w:r>
      <w:proofErr w:type="spellStart"/>
      <w:r>
        <w:rPr>
          <w:sz w:val="32"/>
          <w:szCs w:val="32"/>
        </w:rPr>
        <w:t>Огородняя</w:t>
      </w:r>
      <w:proofErr w:type="spellEnd"/>
      <w:r>
        <w:rPr>
          <w:sz w:val="32"/>
          <w:szCs w:val="32"/>
        </w:rPr>
        <w:t xml:space="preserve">, 29 в – ИЖС и ул. </w:t>
      </w:r>
      <w:proofErr w:type="spellStart"/>
      <w:r>
        <w:rPr>
          <w:sz w:val="32"/>
          <w:szCs w:val="32"/>
        </w:rPr>
        <w:t>Жлобы</w:t>
      </w:r>
      <w:proofErr w:type="spellEnd"/>
      <w:r>
        <w:rPr>
          <w:sz w:val="32"/>
          <w:szCs w:val="32"/>
        </w:rPr>
        <w:t>, 82 – под общественную застройку.</w:t>
      </w:r>
      <w:proofErr w:type="gramEnd"/>
    </w:p>
    <w:p w:rsidR="009470B6" w:rsidRDefault="009470B6" w:rsidP="009470B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Вопрос межевания земельных участков по многоквартирным домам даже не столько экономический, сколько политический и эстетический. Как правило, именно те дома, которые не отмежеваны, не отличаются порядком в содержании придомовых территорий, имеют другие проблемы.</w:t>
      </w:r>
    </w:p>
    <w:p w:rsidR="009470B6" w:rsidRDefault="009470B6" w:rsidP="009470B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Отделу по доходам и управлению муниципальным имуществом (Быкова Т.Г.) совместно с землеустроителем (</w:t>
      </w:r>
      <w:proofErr w:type="spellStart"/>
      <w:r>
        <w:rPr>
          <w:sz w:val="32"/>
          <w:szCs w:val="32"/>
        </w:rPr>
        <w:t>Кривега</w:t>
      </w:r>
      <w:proofErr w:type="spellEnd"/>
      <w:r>
        <w:rPr>
          <w:sz w:val="32"/>
          <w:szCs w:val="32"/>
        </w:rPr>
        <w:t xml:space="preserve"> В.М.) необходимо в срок до 2017 года эту работу завершить.</w:t>
      </w:r>
    </w:p>
    <w:p w:rsidR="009470B6" w:rsidRDefault="00664903" w:rsidP="0034552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январе – феврале текущего года при плане 6 442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 xml:space="preserve">уб. собрано 7 054,10 тыс. руб. доходов, или больше на 612,10 тыс.руб. Однако, это ниже уровня прошлого года (январь </w:t>
      </w:r>
      <w:r w:rsidR="003756EB">
        <w:rPr>
          <w:sz w:val="32"/>
          <w:szCs w:val="32"/>
        </w:rPr>
        <w:t>–</w:t>
      </w:r>
      <w:r>
        <w:rPr>
          <w:sz w:val="32"/>
          <w:szCs w:val="32"/>
        </w:rPr>
        <w:t xml:space="preserve"> февраль</w:t>
      </w:r>
      <w:r w:rsidR="003756EB">
        <w:rPr>
          <w:sz w:val="32"/>
          <w:szCs w:val="32"/>
        </w:rPr>
        <w:t xml:space="preserve"> – 7 249,09 тыс.руб.).</w:t>
      </w:r>
    </w:p>
    <w:p w:rsidR="00187182" w:rsidRDefault="00187182" w:rsidP="00187182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11 марта 2016 года в этом зале будет проводиться выездная научно-практическая конференция Законодательного Собрания Краснодарского края по вопросу «Укрепление финансово-экономических основ муниципальных образований» Красноармейского, Калининского и </w:t>
      </w:r>
      <w:proofErr w:type="spellStart"/>
      <w:r>
        <w:rPr>
          <w:sz w:val="32"/>
          <w:szCs w:val="32"/>
        </w:rPr>
        <w:t>Приморско-Ахтарского</w:t>
      </w:r>
      <w:proofErr w:type="spellEnd"/>
      <w:r>
        <w:rPr>
          <w:sz w:val="32"/>
          <w:szCs w:val="32"/>
        </w:rPr>
        <w:t xml:space="preserve"> районов. В рамках конференции в фойе Дома культуры будет организована выставка продукции, </w:t>
      </w:r>
      <w:proofErr w:type="gramStart"/>
      <w:r>
        <w:rPr>
          <w:sz w:val="32"/>
          <w:szCs w:val="32"/>
        </w:rPr>
        <w:t>производимой</w:t>
      </w:r>
      <w:proofErr w:type="gramEnd"/>
      <w:r>
        <w:rPr>
          <w:sz w:val="32"/>
          <w:szCs w:val="32"/>
        </w:rPr>
        <w:t xml:space="preserve"> в том числе и нашими Полтавскими предприятиями: ЗАО «Полтавские консервы», ОАО «</w:t>
      </w:r>
      <w:proofErr w:type="gramStart"/>
      <w:r>
        <w:rPr>
          <w:sz w:val="32"/>
          <w:szCs w:val="32"/>
        </w:rPr>
        <w:t>Полтавский</w:t>
      </w:r>
      <w:proofErr w:type="gramEnd"/>
      <w:r>
        <w:rPr>
          <w:sz w:val="32"/>
          <w:szCs w:val="32"/>
        </w:rPr>
        <w:t xml:space="preserve"> КХП», ООО «</w:t>
      </w:r>
      <w:proofErr w:type="spellStart"/>
      <w:r>
        <w:rPr>
          <w:sz w:val="32"/>
          <w:szCs w:val="32"/>
        </w:rPr>
        <w:t>Брют</w:t>
      </w:r>
      <w:proofErr w:type="spellEnd"/>
      <w:r>
        <w:rPr>
          <w:sz w:val="32"/>
          <w:szCs w:val="32"/>
        </w:rPr>
        <w:t xml:space="preserve">», ООО «Белозерное </w:t>
      </w:r>
      <w:proofErr w:type="spellStart"/>
      <w:r>
        <w:rPr>
          <w:sz w:val="32"/>
          <w:szCs w:val="32"/>
        </w:rPr>
        <w:t>Агроплюс</w:t>
      </w:r>
      <w:proofErr w:type="spellEnd"/>
      <w:r>
        <w:rPr>
          <w:sz w:val="32"/>
          <w:szCs w:val="32"/>
        </w:rPr>
        <w:t xml:space="preserve">», ИП </w:t>
      </w:r>
      <w:proofErr w:type="spellStart"/>
      <w:r>
        <w:rPr>
          <w:sz w:val="32"/>
          <w:szCs w:val="32"/>
        </w:rPr>
        <w:t>Залян</w:t>
      </w:r>
      <w:proofErr w:type="spellEnd"/>
      <w:r>
        <w:rPr>
          <w:sz w:val="32"/>
          <w:szCs w:val="32"/>
        </w:rPr>
        <w:t>, ООО «Лидер-2004», ООО «</w:t>
      </w:r>
      <w:proofErr w:type="spellStart"/>
      <w:r>
        <w:rPr>
          <w:sz w:val="32"/>
          <w:szCs w:val="32"/>
        </w:rPr>
        <w:t>Промсервис-ЮГ</w:t>
      </w:r>
      <w:proofErr w:type="spellEnd"/>
      <w:r>
        <w:rPr>
          <w:sz w:val="32"/>
          <w:szCs w:val="32"/>
        </w:rPr>
        <w:t>».</w:t>
      </w:r>
    </w:p>
    <w:p w:rsidR="00625076" w:rsidRDefault="00056692" w:rsidP="0062507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Структура расходов бюджета Полтавского сельского поселения в 2015 году представлена на слайде № 3. </w:t>
      </w:r>
      <w:proofErr w:type="gramStart"/>
      <w:r>
        <w:rPr>
          <w:sz w:val="32"/>
          <w:szCs w:val="32"/>
        </w:rPr>
        <w:t>Из приведенных данных видно, что самые большие расходы пошли на дорожное хозяйство (дорожные фонды) – 43 810,3 тыс. руб. или 35,6 %. В 2015 году мы</w:t>
      </w:r>
      <w:r w:rsidR="00625076">
        <w:rPr>
          <w:sz w:val="32"/>
          <w:szCs w:val="32"/>
        </w:rPr>
        <w:t xml:space="preserve"> произвели ремонт главной въездной улицы в станицу Полтавскую – ул. Центральной, ул. Таманской от ул. Коммунистической до ул. Интернациональной, ул. Кубанской от ул. Таманской до приемного покоя районной больницы, ул. Тельмана от ул. Интернациональной в сторону свалки</w:t>
      </w:r>
      <w:proofErr w:type="gramEnd"/>
      <w:r w:rsidR="00625076">
        <w:rPr>
          <w:sz w:val="32"/>
          <w:szCs w:val="32"/>
        </w:rPr>
        <w:t>. Кроме того, в рамках подпрограммы «Капитальный ремонт и ремонт автомобильных дорог местного значения Краснодарского края» отремонтировано 5 объектов с общим финансированием в размере 7 426 431 руб., в том числе краевой бюджет – 5 826 132 руб., местный бюджет – 1 600 299 руб. (21,54 %).</w:t>
      </w:r>
    </w:p>
    <w:p w:rsidR="00625076" w:rsidRDefault="00625076" w:rsidP="0062507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 все же этого недостаточно. Проблема ремонта дорог остается самой острой. А тенденция финансирования не радует (слайд № 4).</w:t>
      </w:r>
    </w:p>
    <w:p w:rsidR="00625076" w:rsidRDefault="00625076" w:rsidP="0062507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Структура расходов на благоустройство Полтавского сельского поселения в 2015 году приведена на слайде № 5. Всего израсходовано на благоустройство 28 979,1 тыс. руб.</w:t>
      </w:r>
    </w:p>
    <w:p w:rsidR="00625076" w:rsidRDefault="00625076" w:rsidP="0062507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Среди самых заметных, резонансных событий 2015 года стало строительство плоскостного светомузыкального фонтана, названного в честь главного события прошедшего года – 70-летия Великой Победы «Фонтаном Победы». Выполнены работы по ремонту мемориала в центральном парке, появился интересный знак на пересечении ул. Красной и ул. Казачьей, символизирующий противотанковый еж.</w:t>
      </w:r>
    </w:p>
    <w:p w:rsidR="00625076" w:rsidRDefault="00625076" w:rsidP="00625076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Преобразилась стела В.И. Федоренко и сама развязка                ул. Центральной и ул. Федоренко. Проведен косметический ремонт здания администрации сельского поселения и МКУК «Полтавский культурный центр». Высажено 110 новых крупномерных саженцев платанов и лип на бульварной зоне   ул. Ленина.</w:t>
      </w:r>
    </w:p>
    <w:p w:rsidR="00F13402" w:rsidRDefault="00DB1EAD" w:rsidP="0062507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На </w:t>
      </w:r>
      <w:r w:rsidR="00923879">
        <w:rPr>
          <w:sz w:val="32"/>
          <w:szCs w:val="32"/>
        </w:rPr>
        <w:t xml:space="preserve">средства бюджета Полтавского сельского поселения в 2015 году проложено 752,5 м.п. тротуаров: по ул. Интернациональной по обе стороны дороги от ул. Красной до ул. </w:t>
      </w:r>
      <w:proofErr w:type="spellStart"/>
      <w:r w:rsidR="00923879">
        <w:rPr>
          <w:sz w:val="32"/>
          <w:szCs w:val="32"/>
        </w:rPr>
        <w:t>Жлобы</w:t>
      </w:r>
      <w:proofErr w:type="spellEnd"/>
      <w:r w:rsidR="00923879">
        <w:rPr>
          <w:sz w:val="32"/>
          <w:szCs w:val="32"/>
        </w:rPr>
        <w:t>, участки: по ул. Красной – ул. Казачьей, по ул. Центральной – ул. Федоренко, по ул. Таманской от ул. Набережной в сторону ул. Коммунистической.</w:t>
      </w:r>
      <w:proofErr w:type="gramEnd"/>
    </w:p>
    <w:p w:rsidR="007E380F" w:rsidRDefault="007E380F" w:rsidP="0062507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Выполнен пешеходный подход площадью 99,45 кв.м. </w:t>
      </w:r>
      <w:r w:rsidR="00787702">
        <w:rPr>
          <w:sz w:val="32"/>
          <w:szCs w:val="32"/>
        </w:rPr>
        <w:t xml:space="preserve"> со стороны  </w:t>
      </w:r>
      <w:r>
        <w:rPr>
          <w:sz w:val="32"/>
          <w:szCs w:val="32"/>
        </w:rPr>
        <w:t xml:space="preserve">ул. Ленина к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/с № 6. Подрядчик – ООО «</w:t>
      </w:r>
      <w:proofErr w:type="spellStart"/>
      <w:r>
        <w:rPr>
          <w:sz w:val="32"/>
          <w:szCs w:val="32"/>
        </w:rPr>
        <w:t>Дорполтавсервис</w:t>
      </w:r>
      <w:proofErr w:type="spellEnd"/>
      <w:r>
        <w:rPr>
          <w:sz w:val="32"/>
          <w:szCs w:val="32"/>
        </w:rPr>
        <w:t xml:space="preserve">» (директор – </w:t>
      </w:r>
      <w:proofErr w:type="spellStart"/>
      <w:r>
        <w:rPr>
          <w:sz w:val="32"/>
          <w:szCs w:val="32"/>
        </w:rPr>
        <w:t>Спесивцева</w:t>
      </w:r>
      <w:proofErr w:type="spellEnd"/>
      <w:r>
        <w:rPr>
          <w:sz w:val="32"/>
          <w:szCs w:val="32"/>
        </w:rPr>
        <w:t xml:space="preserve"> Вера Васильевна).</w:t>
      </w:r>
    </w:p>
    <w:p w:rsidR="00B21EB2" w:rsidRDefault="00B21EB2" w:rsidP="0062507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Стоимость выполненных работ – 334 190 руб., из них 200 000 руб. получены в качестве премии от ЗСК, а 134 190 руб. добавило сельское поселение.</w:t>
      </w:r>
    </w:p>
    <w:p w:rsidR="00B21EB2" w:rsidRDefault="00B21EB2" w:rsidP="0062507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Кроме того, нам удалось привлечь спонсорские средства ООО «Приволье»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 xml:space="preserve">. Славянск-на-Кубани (руководитель </w:t>
      </w:r>
      <w:proofErr w:type="spellStart"/>
      <w:r>
        <w:rPr>
          <w:sz w:val="32"/>
          <w:szCs w:val="32"/>
        </w:rPr>
        <w:t>Лагошин</w:t>
      </w:r>
      <w:proofErr w:type="spellEnd"/>
      <w:r>
        <w:rPr>
          <w:sz w:val="32"/>
          <w:szCs w:val="32"/>
        </w:rPr>
        <w:t xml:space="preserve"> Сергей Ильич) в размере  </w:t>
      </w:r>
      <w:r w:rsidR="008E298A">
        <w:rPr>
          <w:sz w:val="32"/>
          <w:szCs w:val="32"/>
        </w:rPr>
        <w:t>283,0 тыс.</w:t>
      </w:r>
      <w:r>
        <w:rPr>
          <w:sz w:val="32"/>
          <w:szCs w:val="32"/>
        </w:rPr>
        <w:t xml:space="preserve"> руб.</w:t>
      </w:r>
    </w:p>
    <w:p w:rsidR="007632A4" w:rsidRDefault="007632A4" w:rsidP="0062507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В результате произведено мощение плиткой фирмы «Выбор</w:t>
      </w:r>
      <w:proofErr w:type="gramStart"/>
      <w:r>
        <w:rPr>
          <w:sz w:val="32"/>
          <w:szCs w:val="32"/>
        </w:rPr>
        <w:t xml:space="preserve"> С</w:t>
      </w:r>
      <w:proofErr w:type="gramEnd"/>
      <w:r>
        <w:rPr>
          <w:sz w:val="32"/>
          <w:szCs w:val="32"/>
        </w:rPr>
        <w:t xml:space="preserve">» площадью   </w:t>
      </w:r>
      <w:r w:rsidR="008E298A">
        <w:rPr>
          <w:sz w:val="32"/>
          <w:szCs w:val="32"/>
        </w:rPr>
        <w:t xml:space="preserve">183 </w:t>
      </w:r>
      <w:r>
        <w:rPr>
          <w:sz w:val="32"/>
          <w:szCs w:val="32"/>
        </w:rPr>
        <w:t xml:space="preserve">кв.м. по ул. Красной от ул. Ленина до МКД № </w:t>
      </w:r>
      <w:r w:rsidR="008E298A">
        <w:rPr>
          <w:sz w:val="32"/>
          <w:szCs w:val="32"/>
        </w:rPr>
        <w:t>114</w:t>
      </w:r>
      <w:r>
        <w:rPr>
          <w:sz w:val="32"/>
          <w:szCs w:val="32"/>
        </w:rPr>
        <w:t>.</w:t>
      </w:r>
    </w:p>
    <w:p w:rsidR="007632A4" w:rsidRDefault="007632A4" w:rsidP="0062507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Конечно, это капля в море.</w:t>
      </w:r>
    </w:p>
    <w:p w:rsidR="0016708D" w:rsidRDefault="0016708D" w:rsidP="0016708D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Например, за январь 2016 года объем потребленной электроэнергии на уличное освещение составил 25 036,00 </w:t>
      </w:r>
      <w:proofErr w:type="spellStart"/>
      <w:r>
        <w:rPr>
          <w:sz w:val="32"/>
          <w:szCs w:val="32"/>
        </w:rPr>
        <w:t>кВт</w:t>
      </w:r>
      <w:proofErr w:type="gramStart"/>
      <w:r>
        <w:rPr>
          <w:sz w:val="32"/>
          <w:szCs w:val="32"/>
        </w:rPr>
        <w:t>.ч</w:t>
      </w:r>
      <w:proofErr w:type="spellEnd"/>
      <w:proofErr w:type="gramEnd"/>
      <w:r>
        <w:rPr>
          <w:sz w:val="32"/>
          <w:szCs w:val="32"/>
        </w:rPr>
        <w:t>, что при тарифе 6,3939 руб.вылилось в сумму к расчету 188 891,66 руб. За 12 месяцев эта цифра составит 2 266 699,92 руб.</w:t>
      </w:r>
    </w:p>
    <w:p w:rsidR="0016708D" w:rsidRDefault="0016708D" w:rsidP="0016708D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Здесь есть возможности экономии, которые можно и нужно направить на освещение «темных» мест станицы.</w:t>
      </w:r>
    </w:p>
    <w:p w:rsidR="0016708D" w:rsidRDefault="0016708D" w:rsidP="0016708D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Даже в расходе электроэнергии на работу светофорных объектов есть информация к размышлению. Если светофоры на ул. Красная – ул. Народная расходуют 98 </w:t>
      </w:r>
      <w:proofErr w:type="spellStart"/>
      <w:r>
        <w:rPr>
          <w:sz w:val="32"/>
          <w:szCs w:val="32"/>
        </w:rPr>
        <w:t>кВт</w:t>
      </w:r>
      <w:proofErr w:type="gramStart"/>
      <w:r>
        <w:rPr>
          <w:sz w:val="32"/>
          <w:szCs w:val="32"/>
        </w:rPr>
        <w:t>.ч</w:t>
      </w:r>
      <w:proofErr w:type="spellEnd"/>
      <w:proofErr w:type="gramEnd"/>
      <w:r>
        <w:rPr>
          <w:sz w:val="32"/>
          <w:szCs w:val="32"/>
        </w:rPr>
        <w:t xml:space="preserve"> в месяц, то на ул. </w:t>
      </w:r>
      <w:proofErr w:type="spellStart"/>
      <w:r>
        <w:rPr>
          <w:sz w:val="32"/>
          <w:szCs w:val="32"/>
        </w:rPr>
        <w:t>Жлобы</w:t>
      </w:r>
      <w:proofErr w:type="spellEnd"/>
      <w:r>
        <w:rPr>
          <w:sz w:val="32"/>
          <w:szCs w:val="32"/>
        </w:rPr>
        <w:t xml:space="preserve"> –            ул. Интернациональная – 412 </w:t>
      </w:r>
      <w:proofErr w:type="spellStart"/>
      <w:r>
        <w:rPr>
          <w:sz w:val="32"/>
          <w:szCs w:val="32"/>
        </w:rPr>
        <w:t>кВт.ч</w:t>
      </w:r>
      <w:proofErr w:type="spellEnd"/>
      <w:r>
        <w:rPr>
          <w:sz w:val="32"/>
          <w:szCs w:val="32"/>
        </w:rPr>
        <w:t xml:space="preserve">, на ул. Ленина – ул. </w:t>
      </w:r>
      <w:proofErr w:type="spellStart"/>
      <w:r>
        <w:rPr>
          <w:sz w:val="32"/>
          <w:szCs w:val="32"/>
        </w:rPr>
        <w:t>Жлобы</w:t>
      </w:r>
      <w:proofErr w:type="spellEnd"/>
      <w:r>
        <w:rPr>
          <w:sz w:val="32"/>
          <w:szCs w:val="32"/>
        </w:rPr>
        <w:t xml:space="preserve"> – 344 </w:t>
      </w:r>
      <w:proofErr w:type="spellStart"/>
      <w:r>
        <w:rPr>
          <w:sz w:val="32"/>
          <w:szCs w:val="32"/>
        </w:rPr>
        <w:t>кВт.ч</w:t>
      </w:r>
      <w:proofErr w:type="spellEnd"/>
      <w:r>
        <w:rPr>
          <w:sz w:val="32"/>
          <w:szCs w:val="32"/>
        </w:rPr>
        <w:t>.</w:t>
      </w:r>
    </w:p>
    <w:p w:rsidR="0016708D" w:rsidRDefault="0016708D" w:rsidP="0016708D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Разница в год по двум объектам – 42 966,84 руб.</w:t>
      </w:r>
    </w:p>
    <w:p w:rsidR="00465752" w:rsidRDefault="00465752" w:rsidP="00465752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Получены из АО «Газпром газораспределение Краснодар»          3 февраля 2016 года технические условия на строительство распределительного газопровода высокого давления и двух </w:t>
      </w:r>
      <w:r w:rsidR="00633CE0">
        <w:rPr>
          <w:sz w:val="32"/>
          <w:szCs w:val="32"/>
        </w:rPr>
        <w:t>Ш</w:t>
      </w:r>
      <w:r>
        <w:rPr>
          <w:sz w:val="32"/>
          <w:szCs w:val="32"/>
        </w:rPr>
        <w:t>РП по ул. Народной от ул. Элеваторной до ул. Янтарной</w:t>
      </w:r>
      <w:r w:rsidR="00633CE0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КСТ «Мечта» и КСТ «Мелиоратор», а также технические условия на строительство распределительного газопровода низкого давления по ул. Д.Бедного, ул. Тимирязева, ул. Вавилова, ул. </w:t>
      </w:r>
      <w:proofErr w:type="spellStart"/>
      <w:r>
        <w:rPr>
          <w:sz w:val="32"/>
          <w:szCs w:val="32"/>
        </w:rPr>
        <w:t>Болотова</w:t>
      </w:r>
      <w:proofErr w:type="spellEnd"/>
      <w:r>
        <w:rPr>
          <w:sz w:val="32"/>
          <w:szCs w:val="32"/>
        </w:rPr>
        <w:t>, ул. Степной, ул. Весенней, ул</w:t>
      </w:r>
      <w:proofErr w:type="gramEnd"/>
      <w:r>
        <w:rPr>
          <w:sz w:val="32"/>
          <w:szCs w:val="32"/>
        </w:rPr>
        <w:t>. Лукьяненко, ул. Прянишникова, ул. Вернадского, ул. Чаянова (246 потребителей).</w:t>
      </w:r>
    </w:p>
    <w:p w:rsidR="00465752" w:rsidRDefault="00465752" w:rsidP="00465752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Следующим шагом должно стать изготовление проектной документации, которая </w:t>
      </w:r>
      <w:proofErr w:type="gramStart"/>
      <w:r>
        <w:rPr>
          <w:sz w:val="32"/>
          <w:szCs w:val="32"/>
        </w:rPr>
        <w:t>согласно</w:t>
      </w:r>
      <w:proofErr w:type="gramEnd"/>
      <w:r>
        <w:rPr>
          <w:sz w:val="32"/>
          <w:szCs w:val="32"/>
        </w:rPr>
        <w:t xml:space="preserve"> Градостроительного кодекса РФ подлежит экспертизе.</w:t>
      </w:r>
    </w:p>
    <w:p w:rsidR="00465752" w:rsidRDefault="00465752" w:rsidP="00465752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Предварительная сводная смета на проектные и изыскательные работы, полученная из ООО «Краснодар Газ-Сервис», составляет соответственно 2 758 570,89 руб. и 1 482 900,01 руб.</w:t>
      </w:r>
    </w:p>
    <w:p w:rsidR="00737D73" w:rsidRDefault="002628A7" w:rsidP="00737D7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="00737D73">
        <w:rPr>
          <w:sz w:val="32"/>
          <w:szCs w:val="32"/>
        </w:rPr>
        <w:t xml:space="preserve">В сентябре 2015 года в г. Геленджике состоялось заседание бассейнового совета  Кубанского бассейнового округа, на котором был утвержден Перечень водохозяйственных мероприятий и мероприятий по охране водных объектов в зоне деятельности Кубанского БВУ, представляемых на защиту бюджетных проектировок в </w:t>
      </w:r>
      <w:proofErr w:type="spellStart"/>
      <w:r w:rsidR="00737D73">
        <w:rPr>
          <w:sz w:val="32"/>
          <w:szCs w:val="32"/>
        </w:rPr>
        <w:t>Росводресурсы</w:t>
      </w:r>
      <w:proofErr w:type="spellEnd"/>
      <w:r w:rsidR="00737D73">
        <w:rPr>
          <w:sz w:val="32"/>
          <w:szCs w:val="32"/>
        </w:rPr>
        <w:t xml:space="preserve"> на 2016 год и на плановый период 2017 и 2018 годов, в котором в разделе Министерства природных ресурсов Краснодарского края среди</w:t>
      </w:r>
      <w:proofErr w:type="gramEnd"/>
      <w:r w:rsidR="00737D73">
        <w:rPr>
          <w:sz w:val="32"/>
          <w:szCs w:val="32"/>
        </w:rPr>
        <w:t xml:space="preserve"> 14 объектов на 2016 год значится «Восстановление и экологическая реабилитация Полтавского Ерика в станице Полтавской Красноармейского района Краснодарского края».</w:t>
      </w:r>
    </w:p>
    <w:p w:rsidR="00737D73" w:rsidRDefault="00737D73" w:rsidP="00737D7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Это решение стало возможным благодаря поддержке и усилиям главы нашего района Юрия Валентиновича </w:t>
      </w:r>
      <w:proofErr w:type="gramStart"/>
      <w:r>
        <w:rPr>
          <w:sz w:val="32"/>
          <w:szCs w:val="32"/>
        </w:rPr>
        <w:t>Васина</w:t>
      </w:r>
      <w:proofErr w:type="gramEnd"/>
      <w:r>
        <w:rPr>
          <w:sz w:val="32"/>
          <w:szCs w:val="32"/>
        </w:rPr>
        <w:t xml:space="preserve">, депутатов Законодательного Собрания Краснодарского края Сергея Владимировича </w:t>
      </w:r>
      <w:proofErr w:type="spellStart"/>
      <w:r>
        <w:rPr>
          <w:sz w:val="32"/>
          <w:szCs w:val="32"/>
        </w:rPr>
        <w:t>Кизинька</w:t>
      </w:r>
      <w:proofErr w:type="spellEnd"/>
      <w:r>
        <w:rPr>
          <w:sz w:val="32"/>
          <w:szCs w:val="32"/>
        </w:rPr>
        <w:t xml:space="preserve">, Игоря Александровича </w:t>
      </w:r>
      <w:proofErr w:type="spellStart"/>
      <w:r>
        <w:rPr>
          <w:sz w:val="32"/>
          <w:szCs w:val="32"/>
        </w:rPr>
        <w:t>Лобача</w:t>
      </w:r>
      <w:proofErr w:type="spellEnd"/>
      <w:r>
        <w:rPr>
          <w:sz w:val="32"/>
          <w:szCs w:val="32"/>
        </w:rPr>
        <w:t>, руководителя ООО ПО «</w:t>
      </w:r>
      <w:proofErr w:type="spellStart"/>
      <w:r>
        <w:rPr>
          <w:sz w:val="32"/>
          <w:szCs w:val="32"/>
        </w:rPr>
        <w:t>Камавторесурс</w:t>
      </w:r>
      <w:proofErr w:type="spellEnd"/>
      <w:r>
        <w:rPr>
          <w:sz w:val="32"/>
          <w:szCs w:val="32"/>
        </w:rPr>
        <w:t xml:space="preserve">», депутата районного Совета Андрея Анатольевича </w:t>
      </w:r>
      <w:proofErr w:type="spellStart"/>
      <w:r>
        <w:rPr>
          <w:sz w:val="32"/>
          <w:szCs w:val="32"/>
        </w:rPr>
        <w:t>Гаряева</w:t>
      </w:r>
      <w:proofErr w:type="spellEnd"/>
      <w:r>
        <w:rPr>
          <w:sz w:val="32"/>
          <w:szCs w:val="32"/>
        </w:rPr>
        <w:t xml:space="preserve"> и Павла Анатольевича </w:t>
      </w:r>
      <w:proofErr w:type="spellStart"/>
      <w:r>
        <w:rPr>
          <w:sz w:val="32"/>
          <w:szCs w:val="32"/>
        </w:rPr>
        <w:t>Ворсунова</w:t>
      </w:r>
      <w:proofErr w:type="spellEnd"/>
      <w:r>
        <w:rPr>
          <w:sz w:val="32"/>
          <w:szCs w:val="32"/>
        </w:rPr>
        <w:t>.</w:t>
      </w:r>
    </w:p>
    <w:p w:rsidR="00B054E9" w:rsidRDefault="00B054E9" w:rsidP="00737D73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B054E9" w:rsidRDefault="00B054E9" w:rsidP="00737D73">
      <w:pPr>
        <w:jc w:val="both"/>
        <w:rPr>
          <w:sz w:val="32"/>
          <w:szCs w:val="32"/>
        </w:rPr>
      </w:pPr>
    </w:p>
    <w:p w:rsidR="00737D73" w:rsidRDefault="00737D73" w:rsidP="00737D73">
      <w:pPr>
        <w:jc w:val="both"/>
        <w:rPr>
          <w:sz w:val="32"/>
          <w:szCs w:val="32"/>
        </w:rPr>
      </w:pPr>
    </w:p>
    <w:p w:rsidR="00B054E9" w:rsidRDefault="00B054E9" w:rsidP="00B054E9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В 2015 году третий раз чемпионом мира и в пятый раз чемпионом Европы по гиревому спорту стал наш земляк Алексей </w:t>
      </w:r>
      <w:proofErr w:type="spellStart"/>
      <w:r>
        <w:rPr>
          <w:sz w:val="32"/>
          <w:szCs w:val="32"/>
        </w:rPr>
        <w:t>Коломацкий</w:t>
      </w:r>
      <w:proofErr w:type="spellEnd"/>
      <w:r>
        <w:rPr>
          <w:sz w:val="32"/>
          <w:szCs w:val="32"/>
        </w:rPr>
        <w:t xml:space="preserve"> (тренер Сахаров Виктор Васильевич).</w:t>
      </w:r>
    </w:p>
    <w:p w:rsidR="00367541" w:rsidRDefault="00367541" w:rsidP="0036754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На прошедшей</w:t>
      </w:r>
      <w:r w:rsidR="00636334">
        <w:rPr>
          <w:sz w:val="32"/>
          <w:szCs w:val="32"/>
        </w:rPr>
        <w:t xml:space="preserve"> 24 февраля 2016 года </w:t>
      </w:r>
      <w:r>
        <w:rPr>
          <w:sz w:val="32"/>
          <w:szCs w:val="32"/>
        </w:rPr>
        <w:t xml:space="preserve"> сессии районного Совета депутаты подвели итоги</w:t>
      </w:r>
      <w:r w:rsidR="00636334">
        <w:rPr>
          <w:sz w:val="32"/>
          <w:szCs w:val="32"/>
        </w:rPr>
        <w:t xml:space="preserve"> районного </w:t>
      </w:r>
      <w:r>
        <w:rPr>
          <w:sz w:val="32"/>
          <w:szCs w:val="32"/>
        </w:rPr>
        <w:t>конкурса на звание «Лучший орган территориального общественного самоуправления». Первое место занял ТОС № 1 Полтавского сельского поселения (руководитель Мищенко Лидия Павловна).</w:t>
      </w:r>
    </w:p>
    <w:p w:rsidR="00367541" w:rsidRDefault="00367541" w:rsidP="00367541">
      <w:pPr>
        <w:jc w:val="both"/>
        <w:rPr>
          <w:sz w:val="32"/>
          <w:szCs w:val="32"/>
        </w:rPr>
      </w:pPr>
    </w:p>
    <w:p w:rsidR="00367541" w:rsidRDefault="00367541" w:rsidP="00B054E9">
      <w:pPr>
        <w:jc w:val="both"/>
        <w:rPr>
          <w:sz w:val="32"/>
          <w:szCs w:val="32"/>
        </w:rPr>
      </w:pPr>
    </w:p>
    <w:p w:rsidR="00737D73" w:rsidRDefault="00737D73" w:rsidP="00737D73">
      <w:pPr>
        <w:jc w:val="both"/>
        <w:rPr>
          <w:sz w:val="32"/>
          <w:szCs w:val="32"/>
        </w:rPr>
      </w:pPr>
    </w:p>
    <w:p w:rsidR="002628A7" w:rsidRDefault="002628A7" w:rsidP="00465752">
      <w:pPr>
        <w:jc w:val="both"/>
        <w:rPr>
          <w:sz w:val="32"/>
          <w:szCs w:val="32"/>
        </w:rPr>
      </w:pPr>
    </w:p>
    <w:p w:rsidR="0016708D" w:rsidRDefault="0016708D" w:rsidP="00625076">
      <w:pPr>
        <w:jc w:val="both"/>
        <w:rPr>
          <w:sz w:val="32"/>
          <w:szCs w:val="32"/>
        </w:rPr>
      </w:pPr>
    </w:p>
    <w:p w:rsidR="00F13402" w:rsidRDefault="00F13402" w:rsidP="00AF46C1">
      <w:pPr>
        <w:ind w:firstLine="709"/>
        <w:jc w:val="both"/>
        <w:rPr>
          <w:sz w:val="32"/>
          <w:szCs w:val="32"/>
        </w:rPr>
      </w:pPr>
    </w:p>
    <w:p w:rsidR="00F13402" w:rsidRDefault="00F13402" w:rsidP="00AF46C1">
      <w:pPr>
        <w:ind w:firstLine="709"/>
        <w:jc w:val="both"/>
        <w:rPr>
          <w:sz w:val="32"/>
          <w:szCs w:val="32"/>
        </w:rPr>
      </w:pPr>
    </w:p>
    <w:p w:rsidR="00F13402" w:rsidRDefault="00F13402" w:rsidP="00AF46C1">
      <w:pPr>
        <w:ind w:firstLine="709"/>
        <w:jc w:val="both"/>
        <w:rPr>
          <w:sz w:val="32"/>
          <w:szCs w:val="32"/>
        </w:rPr>
      </w:pPr>
    </w:p>
    <w:p w:rsidR="00F13402" w:rsidRDefault="00F13402" w:rsidP="00AF46C1">
      <w:pPr>
        <w:ind w:firstLine="709"/>
        <w:jc w:val="both"/>
        <w:rPr>
          <w:sz w:val="32"/>
          <w:szCs w:val="32"/>
        </w:rPr>
      </w:pPr>
    </w:p>
    <w:sectPr w:rsidR="00F13402" w:rsidSect="006901DD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C90" w:rsidRDefault="00FA4C90">
      <w:r>
        <w:separator/>
      </w:r>
    </w:p>
  </w:endnote>
  <w:endnote w:type="continuationSeparator" w:id="1">
    <w:p w:rsidR="00FA4C90" w:rsidRDefault="00FA4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C90" w:rsidRDefault="00FA4C90">
      <w:r>
        <w:separator/>
      </w:r>
    </w:p>
  </w:footnote>
  <w:footnote w:type="continuationSeparator" w:id="1">
    <w:p w:rsidR="00FA4C90" w:rsidRDefault="00FA4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B0" w:rsidRDefault="00C157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C29B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29B0" w:rsidRDefault="006C29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0126"/>
      <w:docPartObj>
        <w:docPartGallery w:val="Page Numbers (Top of Page)"/>
        <w:docPartUnique/>
      </w:docPartObj>
    </w:sdtPr>
    <w:sdtContent>
      <w:p w:rsidR="006C29B0" w:rsidRDefault="00C15767">
        <w:pPr>
          <w:pStyle w:val="a5"/>
          <w:jc w:val="center"/>
        </w:pPr>
        <w:fldSimple w:instr=" PAGE   \* MERGEFORMAT ">
          <w:r w:rsidR="00854CD3">
            <w:rPr>
              <w:noProof/>
            </w:rPr>
            <w:t>4</w:t>
          </w:r>
        </w:fldSimple>
      </w:p>
    </w:sdtContent>
  </w:sdt>
  <w:p w:rsidR="006C29B0" w:rsidRDefault="006C29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220"/>
    <w:multiLevelType w:val="hybridMultilevel"/>
    <w:tmpl w:val="AC1E8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8608AF"/>
    <w:multiLevelType w:val="hybridMultilevel"/>
    <w:tmpl w:val="A652373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25F10E1"/>
    <w:multiLevelType w:val="hybridMultilevel"/>
    <w:tmpl w:val="853A9C2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6CD7B7A"/>
    <w:multiLevelType w:val="hybridMultilevel"/>
    <w:tmpl w:val="7AB052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C286942"/>
    <w:multiLevelType w:val="hybridMultilevel"/>
    <w:tmpl w:val="8F8090B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F0A7980"/>
    <w:multiLevelType w:val="hybridMultilevel"/>
    <w:tmpl w:val="DD7EAA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8F3230D"/>
    <w:multiLevelType w:val="hybridMultilevel"/>
    <w:tmpl w:val="C3124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6D1E6467"/>
    <w:multiLevelType w:val="hybridMultilevel"/>
    <w:tmpl w:val="0E869E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B08451B"/>
    <w:multiLevelType w:val="hybridMultilevel"/>
    <w:tmpl w:val="A26A6DC2"/>
    <w:lvl w:ilvl="0" w:tplc="066007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noPunctuationKerning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545CDD"/>
    <w:rsid w:val="000034C9"/>
    <w:rsid w:val="0001144A"/>
    <w:rsid w:val="000349D3"/>
    <w:rsid w:val="00035DAE"/>
    <w:rsid w:val="00051C1B"/>
    <w:rsid w:val="00056692"/>
    <w:rsid w:val="0006480F"/>
    <w:rsid w:val="00067C33"/>
    <w:rsid w:val="00073B27"/>
    <w:rsid w:val="00077BB5"/>
    <w:rsid w:val="00082418"/>
    <w:rsid w:val="00086450"/>
    <w:rsid w:val="00090E4D"/>
    <w:rsid w:val="000943CD"/>
    <w:rsid w:val="000A553C"/>
    <w:rsid w:val="000B52BF"/>
    <w:rsid w:val="000D11F3"/>
    <w:rsid w:val="00131D33"/>
    <w:rsid w:val="00133F44"/>
    <w:rsid w:val="00164AE4"/>
    <w:rsid w:val="0016708D"/>
    <w:rsid w:val="00187182"/>
    <w:rsid w:val="001A2A79"/>
    <w:rsid w:val="001D08B8"/>
    <w:rsid w:val="00213C63"/>
    <w:rsid w:val="0022734D"/>
    <w:rsid w:val="002363E8"/>
    <w:rsid w:val="00255320"/>
    <w:rsid w:val="002628A7"/>
    <w:rsid w:val="0026662C"/>
    <w:rsid w:val="0028004A"/>
    <w:rsid w:val="002B2031"/>
    <w:rsid w:val="002C1BF8"/>
    <w:rsid w:val="002C4B11"/>
    <w:rsid w:val="002E1A25"/>
    <w:rsid w:val="002F78C4"/>
    <w:rsid w:val="0032298F"/>
    <w:rsid w:val="00333022"/>
    <w:rsid w:val="00345529"/>
    <w:rsid w:val="0035119B"/>
    <w:rsid w:val="003531D9"/>
    <w:rsid w:val="00354A01"/>
    <w:rsid w:val="00364589"/>
    <w:rsid w:val="00367541"/>
    <w:rsid w:val="003756EB"/>
    <w:rsid w:val="00392C98"/>
    <w:rsid w:val="00392D49"/>
    <w:rsid w:val="003C25EB"/>
    <w:rsid w:val="003C644B"/>
    <w:rsid w:val="003D637B"/>
    <w:rsid w:val="003D736D"/>
    <w:rsid w:val="00415AB4"/>
    <w:rsid w:val="004218BB"/>
    <w:rsid w:val="00437CE0"/>
    <w:rsid w:val="00452FE4"/>
    <w:rsid w:val="0046229B"/>
    <w:rsid w:val="00465752"/>
    <w:rsid w:val="0047551F"/>
    <w:rsid w:val="004976E1"/>
    <w:rsid w:val="004A2509"/>
    <w:rsid w:val="004A52DB"/>
    <w:rsid w:val="004C6AAD"/>
    <w:rsid w:val="004D243A"/>
    <w:rsid w:val="004D7FC7"/>
    <w:rsid w:val="004E6106"/>
    <w:rsid w:val="004F1568"/>
    <w:rsid w:val="00545CDD"/>
    <w:rsid w:val="0057710C"/>
    <w:rsid w:val="00584B7B"/>
    <w:rsid w:val="00594162"/>
    <w:rsid w:val="005973EA"/>
    <w:rsid w:val="006020A6"/>
    <w:rsid w:val="006243A3"/>
    <w:rsid w:val="00625076"/>
    <w:rsid w:val="00633CE0"/>
    <w:rsid w:val="00635BF8"/>
    <w:rsid w:val="00636334"/>
    <w:rsid w:val="0064504C"/>
    <w:rsid w:val="0065047B"/>
    <w:rsid w:val="00652BD7"/>
    <w:rsid w:val="00664903"/>
    <w:rsid w:val="0067542E"/>
    <w:rsid w:val="00680C14"/>
    <w:rsid w:val="00680D3E"/>
    <w:rsid w:val="00682058"/>
    <w:rsid w:val="0068465E"/>
    <w:rsid w:val="006901DD"/>
    <w:rsid w:val="006A56E2"/>
    <w:rsid w:val="006B6DBA"/>
    <w:rsid w:val="006C29B0"/>
    <w:rsid w:val="006E149D"/>
    <w:rsid w:val="007033E4"/>
    <w:rsid w:val="007105FC"/>
    <w:rsid w:val="00711BF4"/>
    <w:rsid w:val="00737D73"/>
    <w:rsid w:val="00740086"/>
    <w:rsid w:val="007632A4"/>
    <w:rsid w:val="00772E3E"/>
    <w:rsid w:val="00773C7B"/>
    <w:rsid w:val="007873AB"/>
    <w:rsid w:val="00787702"/>
    <w:rsid w:val="00790C83"/>
    <w:rsid w:val="007A126E"/>
    <w:rsid w:val="007A16AF"/>
    <w:rsid w:val="007A6AF0"/>
    <w:rsid w:val="007C269C"/>
    <w:rsid w:val="007C4A47"/>
    <w:rsid w:val="007E0F10"/>
    <w:rsid w:val="007E102B"/>
    <w:rsid w:val="007E2F6D"/>
    <w:rsid w:val="007E380F"/>
    <w:rsid w:val="00820D5D"/>
    <w:rsid w:val="0082189F"/>
    <w:rsid w:val="00845B20"/>
    <w:rsid w:val="00854CD3"/>
    <w:rsid w:val="00857CC6"/>
    <w:rsid w:val="00863491"/>
    <w:rsid w:val="00864FD3"/>
    <w:rsid w:val="00883A41"/>
    <w:rsid w:val="00890E96"/>
    <w:rsid w:val="008E298A"/>
    <w:rsid w:val="008F6807"/>
    <w:rsid w:val="00907DF1"/>
    <w:rsid w:val="0092206E"/>
    <w:rsid w:val="00923879"/>
    <w:rsid w:val="00923E14"/>
    <w:rsid w:val="00937F14"/>
    <w:rsid w:val="00946CB6"/>
    <w:rsid w:val="009470B6"/>
    <w:rsid w:val="00957ECA"/>
    <w:rsid w:val="009837AB"/>
    <w:rsid w:val="00995240"/>
    <w:rsid w:val="009B59C9"/>
    <w:rsid w:val="009C3E37"/>
    <w:rsid w:val="009C7925"/>
    <w:rsid w:val="009C798C"/>
    <w:rsid w:val="009E684E"/>
    <w:rsid w:val="009F1B56"/>
    <w:rsid w:val="009F645C"/>
    <w:rsid w:val="00A00A56"/>
    <w:rsid w:val="00A06C5C"/>
    <w:rsid w:val="00A227FF"/>
    <w:rsid w:val="00A32342"/>
    <w:rsid w:val="00A70EDF"/>
    <w:rsid w:val="00A74686"/>
    <w:rsid w:val="00A82D58"/>
    <w:rsid w:val="00A9155D"/>
    <w:rsid w:val="00AA6EE7"/>
    <w:rsid w:val="00AB19D3"/>
    <w:rsid w:val="00AC0F22"/>
    <w:rsid w:val="00AF22AD"/>
    <w:rsid w:val="00AF46C1"/>
    <w:rsid w:val="00AF5104"/>
    <w:rsid w:val="00B028DE"/>
    <w:rsid w:val="00B048FF"/>
    <w:rsid w:val="00B04923"/>
    <w:rsid w:val="00B054E9"/>
    <w:rsid w:val="00B06191"/>
    <w:rsid w:val="00B21EB2"/>
    <w:rsid w:val="00B34203"/>
    <w:rsid w:val="00B453A7"/>
    <w:rsid w:val="00B62643"/>
    <w:rsid w:val="00B74ADA"/>
    <w:rsid w:val="00B75E48"/>
    <w:rsid w:val="00B77839"/>
    <w:rsid w:val="00B83541"/>
    <w:rsid w:val="00B93618"/>
    <w:rsid w:val="00B96368"/>
    <w:rsid w:val="00BA5AE1"/>
    <w:rsid w:val="00BC6F5E"/>
    <w:rsid w:val="00BD6032"/>
    <w:rsid w:val="00BE7C96"/>
    <w:rsid w:val="00C1115E"/>
    <w:rsid w:val="00C15767"/>
    <w:rsid w:val="00C40598"/>
    <w:rsid w:val="00C54086"/>
    <w:rsid w:val="00C5512B"/>
    <w:rsid w:val="00C57DDE"/>
    <w:rsid w:val="00C62873"/>
    <w:rsid w:val="00C81A14"/>
    <w:rsid w:val="00C84628"/>
    <w:rsid w:val="00C858F2"/>
    <w:rsid w:val="00C87D7A"/>
    <w:rsid w:val="00C960CF"/>
    <w:rsid w:val="00CA46B4"/>
    <w:rsid w:val="00CB3C59"/>
    <w:rsid w:val="00CB6670"/>
    <w:rsid w:val="00CD2DC8"/>
    <w:rsid w:val="00CF26CE"/>
    <w:rsid w:val="00CF2FFA"/>
    <w:rsid w:val="00D124C8"/>
    <w:rsid w:val="00D20482"/>
    <w:rsid w:val="00D23594"/>
    <w:rsid w:val="00D31C3E"/>
    <w:rsid w:val="00D31D68"/>
    <w:rsid w:val="00D516F1"/>
    <w:rsid w:val="00D679B8"/>
    <w:rsid w:val="00D741D4"/>
    <w:rsid w:val="00D806FE"/>
    <w:rsid w:val="00D84452"/>
    <w:rsid w:val="00D866C8"/>
    <w:rsid w:val="00D9253E"/>
    <w:rsid w:val="00D96A92"/>
    <w:rsid w:val="00D974E9"/>
    <w:rsid w:val="00D975C1"/>
    <w:rsid w:val="00DB1EAD"/>
    <w:rsid w:val="00DC0A0F"/>
    <w:rsid w:val="00DD14B6"/>
    <w:rsid w:val="00DD3FAF"/>
    <w:rsid w:val="00E20A32"/>
    <w:rsid w:val="00E27147"/>
    <w:rsid w:val="00E6681D"/>
    <w:rsid w:val="00E875BD"/>
    <w:rsid w:val="00E9308A"/>
    <w:rsid w:val="00E95F6D"/>
    <w:rsid w:val="00E97C11"/>
    <w:rsid w:val="00EA062E"/>
    <w:rsid w:val="00EA0B28"/>
    <w:rsid w:val="00EB066A"/>
    <w:rsid w:val="00EB1230"/>
    <w:rsid w:val="00ED61A9"/>
    <w:rsid w:val="00ED7777"/>
    <w:rsid w:val="00EF76C9"/>
    <w:rsid w:val="00F13402"/>
    <w:rsid w:val="00F30F04"/>
    <w:rsid w:val="00F407C0"/>
    <w:rsid w:val="00F56E62"/>
    <w:rsid w:val="00F65E39"/>
    <w:rsid w:val="00F72366"/>
    <w:rsid w:val="00F81164"/>
    <w:rsid w:val="00FA022C"/>
    <w:rsid w:val="00FA4C90"/>
    <w:rsid w:val="00FC7F4D"/>
    <w:rsid w:val="00FD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3E"/>
    <w:rPr>
      <w:sz w:val="24"/>
      <w:szCs w:val="24"/>
    </w:rPr>
  </w:style>
  <w:style w:type="paragraph" w:styleId="1">
    <w:name w:val="heading 1"/>
    <w:basedOn w:val="a"/>
    <w:next w:val="a"/>
    <w:qFormat/>
    <w:rsid w:val="00D31C3E"/>
    <w:pPr>
      <w:keepNext/>
      <w:spacing w:line="360" w:lineRule="auto"/>
      <w:ind w:firstLine="708"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1C3E"/>
    <w:pPr>
      <w:jc w:val="center"/>
    </w:pPr>
    <w:rPr>
      <w:sz w:val="32"/>
    </w:rPr>
  </w:style>
  <w:style w:type="paragraph" w:styleId="2">
    <w:name w:val="Body Text 2"/>
    <w:basedOn w:val="a"/>
    <w:semiHidden/>
    <w:rsid w:val="00D31C3E"/>
    <w:pPr>
      <w:jc w:val="both"/>
    </w:pPr>
    <w:rPr>
      <w:sz w:val="32"/>
    </w:rPr>
  </w:style>
  <w:style w:type="paragraph" w:styleId="a4">
    <w:name w:val="Body Text Indent"/>
    <w:basedOn w:val="a"/>
    <w:semiHidden/>
    <w:rsid w:val="00D31C3E"/>
    <w:pPr>
      <w:spacing w:line="360" w:lineRule="auto"/>
      <w:ind w:firstLine="708"/>
      <w:jc w:val="both"/>
    </w:pPr>
    <w:rPr>
      <w:sz w:val="32"/>
    </w:rPr>
  </w:style>
  <w:style w:type="paragraph" w:styleId="a5">
    <w:name w:val="header"/>
    <w:basedOn w:val="a"/>
    <w:link w:val="a6"/>
    <w:uiPriority w:val="99"/>
    <w:rsid w:val="00D31C3E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D31C3E"/>
  </w:style>
  <w:style w:type="paragraph" w:styleId="a8">
    <w:name w:val="Balloon Text"/>
    <w:basedOn w:val="a"/>
    <w:semiHidden/>
    <w:rsid w:val="00D31C3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D31C3E"/>
    <w:pPr>
      <w:spacing w:line="360" w:lineRule="auto"/>
      <w:ind w:left="1080" w:hanging="372"/>
      <w:jc w:val="both"/>
    </w:pPr>
    <w:rPr>
      <w:sz w:val="32"/>
    </w:rPr>
  </w:style>
  <w:style w:type="paragraph" w:styleId="3">
    <w:name w:val="Body Text Indent 3"/>
    <w:basedOn w:val="a"/>
    <w:semiHidden/>
    <w:rsid w:val="00D31C3E"/>
    <w:pPr>
      <w:spacing w:line="360" w:lineRule="auto"/>
      <w:ind w:left="708"/>
      <w:jc w:val="both"/>
    </w:pPr>
    <w:rPr>
      <w:sz w:val="32"/>
    </w:rPr>
  </w:style>
  <w:style w:type="paragraph" w:styleId="a9">
    <w:name w:val="footer"/>
    <w:basedOn w:val="a"/>
    <w:link w:val="aa"/>
    <w:uiPriority w:val="99"/>
    <w:semiHidden/>
    <w:unhideWhenUsed/>
    <w:rsid w:val="007E0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0F1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0F10"/>
    <w:rPr>
      <w:sz w:val="24"/>
      <w:szCs w:val="24"/>
    </w:rPr>
  </w:style>
  <w:style w:type="paragraph" w:styleId="ab">
    <w:name w:val="List Paragraph"/>
    <w:basedOn w:val="a"/>
    <w:uiPriority w:val="34"/>
    <w:qFormat/>
    <w:rsid w:val="001D08B8"/>
    <w:pPr>
      <w:ind w:left="720"/>
      <w:contextualSpacing/>
    </w:pPr>
  </w:style>
  <w:style w:type="table" w:styleId="ac">
    <w:name w:val="Table Grid"/>
    <w:basedOn w:val="a1"/>
    <w:uiPriority w:val="59"/>
    <w:rsid w:val="006C29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6</Pages>
  <Words>1499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присутствующие на сегодняшнем собрании </vt:lpstr>
    </vt:vector>
  </TitlesOfParts>
  <Company>poltpos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присутствующие на сегодняшнем собрании </dc:title>
  <dc:subject/>
  <dc:creator>comp02</dc:creator>
  <cp:keywords/>
  <dc:description/>
  <cp:lastModifiedBy>user</cp:lastModifiedBy>
  <cp:revision>119</cp:revision>
  <cp:lastPrinted>2015-08-10T14:04:00Z</cp:lastPrinted>
  <dcterms:created xsi:type="dcterms:W3CDTF">2015-03-09T05:05:00Z</dcterms:created>
  <dcterms:modified xsi:type="dcterms:W3CDTF">2016-03-09T05:24:00Z</dcterms:modified>
</cp:coreProperties>
</file>