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6C356D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</w:t>
      </w:r>
      <w:r w:rsidR="00F535CA"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 xml:space="preserve">         ПРОЕКТ</w:t>
      </w:r>
      <w:r w:rsidR="00B64D31">
        <w:rPr>
          <w:b/>
          <w:bCs/>
          <w:sz w:val="32"/>
          <w:szCs w:val="32"/>
        </w:rPr>
        <w:t xml:space="preserve">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AF39D2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№ </w:t>
      </w:r>
      <w:r>
        <w:rPr>
          <w:sz w:val="28"/>
          <w:szCs w:val="28"/>
        </w:rPr>
        <w:t>_____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20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F535CA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DF339A" w:rsidRPr="001557B6" w:rsidRDefault="001E56A9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5CA" w:rsidRPr="001557B6">
        <w:rPr>
          <w:sz w:val="28"/>
          <w:szCs w:val="28"/>
        </w:rPr>
        <w:t xml:space="preserve">) Решение Совета Полтавского сельского поселения Красноармейского района от </w:t>
      </w:r>
      <w:r>
        <w:rPr>
          <w:sz w:val="28"/>
          <w:szCs w:val="28"/>
        </w:rPr>
        <w:t>15</w:t>
      </w:r>
      <w:r w:rsidR="00F535CA" w:rsidRPr="00155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535CA" w:rsidRPr="001557B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62/3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201</w:t>
      </w:r>
      <w:r>
        <w:rPr>
          <w:sz w:val="28"/>
          <w:szCs w:val="28"/>
        </w:rPr>
        <w:t>9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F535CA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3. </w:t>
      </w:r>
      <w:proofErr w:type="gramStart"/>
      <w:r w:rsidRPr="001557B6">
        <w:rPr>
          <w:sz w:val="28"/>
          <w:szCs w:val="28"/>
        </w:rPr>
        <w:t>Контроль  за</w:t>
      </w:r>
      <w:proofErr w:type="gramEnd"/>
      <w:r w:rsidRPr="001557B6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Pr="001557B6">
        <w:rPr>
          <w:sz w:val="28"/>
          <w:szCs w:val="28"/>
        </w:rPr>
        <w:t>).</w:t>
      </w:r>
    </w:p>
    <w:p w:rsidR="00A111F5" w:rsidRPr="001557B6" w:rsidRDefault="00A111F5" w:rsidP="005761F7">
      <w:pPr>
        <w:ind w:firstLine="709"/>
        <w:jc w:val="both"/>
        <w:rPr>
          <w:sz w:val="28"/>
          <w:szCs w:val="28"/>
        </w:rPr>
      </w:pP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20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AF39D2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AF39D2">
              <w:rPr>
                <w:sz w:val="28"/>
                <w:szCs w:val="28"/>
              </w:rPr>
              <w:t>_____________</w:t>
            </w:r>
            <w:r w:rsidRPr="005761F7">
              <w:rPr>
                <w:sz w:val="28"/>
                <w:szCs w:val="28"/>
              </w:rPr>
              <w:t xml:space="preserve">  № </w:t>
            </w:r>
            <w:r w:rsidR="00525710">
              <w:rPr>
                <w:sz w:val="28"/>
                <w:szCs w:val="28"/>
              </w:rPr>
              <w:t xml:space="preserve"> </w:t>
            </w:r>
            <w:r w:rsidR="00AF39D2">
              <w:rPr>
                <w:sz w:val="28"/>
                <w:szCs w:val="28"/>
              </w:rPr>
              <w:t>______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20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DF33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706569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185,43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EE2F7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834,75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2080,03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952,49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1913,07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DF339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157,86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DF339A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6123,63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8B" w:rsidRDefault="00FA1A8B">
      <w:r>
        <w:separator/>
      </w:r>
    </w:p>
  </w:endnote>
  <w:endnote w:type="continuationSeparator" w:id="0">
    <w:p w:rsidR="00FA1A8B" w:rsidRDefault="00FA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8B" w:rsidRDefault="00FA1A8B">
      <w:r>
        <w:separator/>
      </w:r>
    </w:p>
  </w:footnote>
  <w:footnote w:type="continuationSeparator" w:id="0">
    <w:p w:rsidR="00FA1A8B" w:rsidRDefault="00FA1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A2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05D06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6D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39D2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3DD7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1A8B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10</cp:revision>
  <cp:lastPrinted>2020-02-26T12:41:00Z</cp:lastPrinted>
  <dcterms:created xsi:type="dcterms:W3CDTF">2020-02-19T11:23:00Z</dcterms:created>
  <dcterms:modified xsi:type="dcterms:W3CDTF">2020-02-28T12:31:00Z</dcterms:modified>
</cp:coreProperties>
</file>