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35" w:rsidRPr="00E834D2" w:rsidRDefault="006A1135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834D2">
        <w:rPr>
          <w:rFonts w:ascii="Times New Roman" w:hAnsi="Times New Roman" w:cs="Times New Roman"/>
          <w:sz w:val="28"/>
          <w:szCs w:val="28"/>
        </w:rPr>
        <w:t>Итоговый документ (заключение)</w:t>
      </w:r>
    </w:p>
    <w:p w:rsidR="006A1135" w:rsidRPr="00E834D2" w:rsidRDefault="006A1135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834D2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A1135" w:rsidRDefault="006A1135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A1135" w:rsidRPr="00E834D2" w:rsidRDefault="006A1135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A1135" w:rsidRPr="00E834D2" w:rsidRDefault="006A1135" w:rsidP="009C5BD1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апреля</w:t>
      </w:r>
      <w:r w:rsidRPr="00E834D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0E30">
        <w:rPr>
          <w:rFonts w:ascii="Times New Roman" w:hAnsi="Times New Roman" w:cs="Times New Roman"/>
          <w:sz w:val="28"/>
          <w:szCs w:val="28"/>
        </w:rPr>
        <w:t>1</w:t>
      </w:r>
      <w:r w:rsidRPr="00E834D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станица Полтавская</w:t>
      </w:r>
    </w:p>
    <w:p w:rsidR="006A1135" w:rsidRDefault="006A1135" w:rsidP="000C674D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1135" w:rsidRPr="00BD4C99" w:rsidRDefault="006A1135" w:rsidP="000C674D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1135" w:rsidRPr="00583B0A" w:rsidRDefault="006A1135" w:rsidP="00110FED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3B0A">
        <w:rPr>
          <w:rFonts w:ascii="Times New Roman" w:hAnsi="Times New Roman" w:cs="Times New Roman"/>
          <w:sz w:val="28"/>
          <w:szCs w:val="28"/>
        </w:rPr>
        <w:t>Инициатор публичных слушаний: Совет Полтавского сельского поселения Красноармейского района</w:t>
      </w:r>
      <w:r w:rsidRPr="00583B0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A1135" w:rsidRDefault="006A1135" w:rsidP="00110FED">
      <w:pPr>
        <w:pStyle w:val="a4"/>
        <w:tabs>
          <w:tab w:val="left" w:pos="567"/>
        </w:tabs>
        <w:spacing w:after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3B0A">
        <w:rPr>
          <w:sz w:val="28"/>
          <w:szCs w:val="28"/>
        </w:rPr>
        <w:t xml:space="preserve">Публичные слушания назначены: решением Совета Полтавского сельского поселения Красноармейского района </w:t>
      </w:r>
      <w:r w:rsidRPr="00A45744">
        <w:rPr>
          <w:sz w:val="28"/>
          <w:szCs w:val="28"/>
        </w:rPr>
        <w:t>от 2</w:t>
      </w:r>
      <w:r w:rsidR="00640E30">
        <w:rPr>
          <w:sz w:val="28"/>
          <w:szCs w:val="28"/>
        </w:rPr>
        <w:t>4</w:t>
      </w:r>
      <w:r w:rsidRPr="00A45744">
        <w:rPr>
          <w:sz w:val="28"/>
          <w:szCs w:val="28"/>
        </w:rPr>
        <w:t xml:space="preserve"> марта  20</w:t>
      </w:r>
      <w:r>
        <w:rPr>
          <w:sz w:val="28"/>
          <w:szCs w:val="28"/>
        </w:rPr>
        <w:t>2</w:t>
      </w:r>
      <w:r w:rsidR="00640E30">
        <w:rPr>
          <w:sz w:val="28"/>
          <w:szCs w:val="28"/>
        </w:rPr>
        <w:t>1</w:t>
      </w:r>
      <w:r w:rsidRPr="00A45744">
        <w:rPr>
          <w:sz w:val="28"/>
          <w:szCs w:val="28"/>
        </w:rPr>
        <w:t xml:space="preserve"> года № </w:t>
      </w:r>
      <w:r w:rsidR="00640E30">
        <w:rPr>
          <w:sz w:val="28"/>
          <w:szCs w:val="28"/>
        </w:rPr>
        <w:t>23</w:t>
      </w:r>
      <w:r w:rsidRPr="00A45744">
        <w:rPr>
          <w:sz w:val="28"/>
          <w:szCs w:val="28"/>
        </w:rPr>
        <w:t>/</w:t>
      </w:r>
      <w:r w:rsidR="00640E30">
        <w:rPr>
          <w:sz w:val="28"/>
          <w:szCs w:val="28"/>
        </w:rPr>
        <w:t>2</w:t>
      </w:r>
      <w:r w:rsidRPr="00583B0A">
        <w:rPr>
          <w:sz w:val="28"/>
          <w:szCs w:val="28"/>
        </w:rPr>
        <w:t xml:space="preserve"> «</w:t>
      </w:r>
      <w:r w:rsidRPr="0035031B">
        <w:rPr>
          <w:sz w:val="28"/>
          <w:szCs w:val="28"/>
        </w:rPr>
        <w:t xml:space="preserve">Об обнародовании проекта </w:t>
      </w:r>
      <w:r>
        <w:rPr>
          <w:sz w:val="28"/>
          <w:szCs w:val="28"/>
        </w:rPr>
        <w:t>решения об исполнении  бюджета Полтавского сельского поселения Красноармейского района  за 20</w:t>
      </w:r>
      <w:r w:rsidR="00640E30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назначении даты публичных слушаний по обсуждению  проекта решения об исполнении бюджета Полтавского сельского поселения Красноармейского района за 20</w:t>
      </w:r>
      <w:r w:rsidR="00640E30">
        <w:rPr>
          <w:sz w:val="28"/>
          <w:szCs w:val="28"/>
        </w:rPr>
        <w:t>20</w:t>
      </w:r>
      <w:r>
        <w:rPr>
          <w:sz w:val="28"/>
          <w:szCs w:val="28"/>
        </w:rPr>
        <w:t xml:space="preserve"> год».</w:t>
      </w:r>
    </w:p>
    <w:p w:rsidR="006A1135" w:rsidRPr="00583B0A" w:rsidRDefault="006A1135" w:rsidP="00583B0A">
      <w:pPr>
        <w:pStyle w:val="a4"/>
        <w:spacing w:after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3B0A">
        <w:rPr>
          <w:sz w:val="28"/>
          <w:szCs w:val="28"/>
        </w:rPr>
        <w:t xml:space="preserve">Вопрос публичных слушаний: </w:t>
      </w:r>
      <w:r>
        <w:rPr>
          <w:sz w:val="28"/>
          <w:szCs w:val="28"/>
        </w:rPr>
        <w:t>«Об исполнении бюджета Полтавского сельского поселения Красноармейского района  за 20</w:t>
      </w:r>
      <w:r w:rsidR="00640E30">
        <w:rPr>
          <w:sz w:val="28"/>
          <w:szCs w:val="28"/>
        </w:rPr>
        <w:t>20</w:t>
      </w:r>
      <w:r>
        <w:rPr>
          <w:sz w:val="28"/>
          <w:szCs w:val="28"/>
        </w:rPr>
        <w:t xml:space="preserve"> год».</w:t>
      </w:r>
    </w:p>
    <w:p w:rsidR="006A1135" w:rsidRDefault="006A1135" w:rsidP="00110FE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3B0A">
        <w:rPr>
          <w:rFonts w:ascii="Times New Roman" w:hAnsi="Times New Roman" w:cs="Times New Roman"/>
          <w:sz w:val="28"/>
          <w:szCs w:val="28"/>
        </w:rPr>
        <w:t xml:space="preserve">Уполномоченный орган по проведению публичных слушаний: организационный комитет по проведению публичных слушаний, состав которого утвержден решением Совета Полтавского сельского поселения Красноармейского района от </w:t>
      </w:r>
      <w:r w:rsidRPr="00A45744">
        <w:rPr>
          <w:rFonts w:ascii="Times New Roman" w:hAnsi="Times New Roman" w:cs="Times New Roman"/>
          <w:sz w:val="28"/>
          <w:szCs w:val="28"/>
        </w:rPr>
        <w:t>2</w:t>
      </w:r>
      <w:r w:rsidR="00640E30">
        <w:rPr>
          <w:rFonts w:ascii="Times New Roman" w:hAnsi="Times New Roman" w:cs="Times New Roman"/>
          <w:sz w:val="28"/>
          <w:szCs w:val="28"/>
        </w:rPr>
        <w:t>4</w:t>
      </w:r>
      <w:r w:rsidRPr="00A45744">
        <w:rPr>
          <w:rFonts w:ascii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0E30">
        <w:rPr>
          <w:rFonts w:ascii="Times New Roman" w:hAnsi="Times New Roman" w:cs="Times New Roman"/>
          <w:sz w:val="28"/>
          <w:szCs w:val="28"/>
        </w:rPr>
        <w:t>1</w:t>
      </w:r>
      <w:r w:rsidRPr="00A4574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40E3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/</w:t>
      </w:r>
      <w:r w:rsidR="00640E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1135" w:rsidRPr="00583B0A" w:rsidRDefault="006A1135" w:rsidP="000C674D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0"/>
        <w:gridCol w:w="3388"/>
        <w:gridCol w:w="593"/>
        <w:gridCol w:w="2951"/>
        <w:gridCol w:w="2268"/>
      </w:tblGrid>
      <w:tr w:rsidR="006A1135" w:rsidRPr="00BD4C99">
        <w:trPr>
          <w:cantSplit/>
          <w:trHeight w:val="649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Предложения и  рекомендации экспертов и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  <w:vAlign w:val="center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(поддержаны)</w:t>
            </w:r>
          </w:p>
        </w:tc>
      </w:tr>
      <w:tr w:rsidR="006A1135" w:rsidRPr="00BD4C99">
        <w:trPr>
          <w:cantSplit/>
          <w:trHeight w:val="145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проекта или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предложения,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эксперта,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участника,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6A1135" w:rsidRPr="00BD4C99">
        <w:trPr>
          <w:trHeight w:val="39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135" w:rsidRPr="00110FED" w:rsidRDefault="006A1135" w:rsidP="002D5EC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135" w:rsidRPr="00110FED" w:rsidRDefault="006A1135" w:rsidP="002D5EC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35" w:rsidRPr="00BD4C99" w:rsidRDefault="006A1135" w:rsidP="00110FED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</w:tbl>
    <w:p w:rsidR="006A1135" w:rsidRDefault="006A1135" w:rsidP="00110FED">
      <w:pPr>
        <w:pStyle w:val="a4"/>
        <w:spacing w:after="0"/>
        <w:jc w:val="both"/>
        <w:rPr>
          <w:sz w:val="28"/>
          <w:szCs w:val="28"/>
        </w:rPr>
      </w:pPr>
      <w:r w:rsidRPr="0035031B">
        <w:rPr>
          <w:sz w:val="28"/>
          <w:szCs w:val="28"/>
        </w:rPr>
        <w:t xml:space="preserve">       </w:t>
      </w:r>
    </w:p>
    <w:p w:rsidR="006A1135" w:rsidRPr="0035031B" w:rsidRDefault="006A1135" w:rsidP="00110FED">
      <w:pPr>
        <w:pStyle w:val="a4"/>
        <w:spacing w:after="0"/>
        <w:jc w:val="both"/>
        <w:rPr>
          <w:sz w:val="28"/>
          <w:szCs w:val="28"/>
        </w:rPr>
      </w:pPr>
      <w:r w:rsidRPr="003503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35031B">
        <w:rPr>
          <w:sz w:val="28"/>
          <w:szCs w:val="28"/>
        </w:rPr>
        <w:t xml:space="preserve"> Решение Совета Полтавского сельского поселения Красноармейского района от 2</w:t>
      </w:r>
      <w:r w:rsidR="00640E30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</w:t>
      </w:r>
      <w:r w:rsidRPr="0035031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40E30">
        <w:rPr>
          <w:sz w:val="28"/>
          <w:szCs w:val="28"/>
        </w:rPr>
        <w:t>1</w:t>
      </w:r>
      <w:r w:rsidRPr="0035031B">
        <w:rPr>
          <w:sz w:val="28"/>
          <w:szCs w:val="28"/>
        </w:rPr>
        <w:t xml:space="preserve"> года № </w:t>
      </w:r>
      <w:r w:rsidR="00640E30">
        <w:rPr>
          <w:sz w:val="28"/>
          <w:szCs w:val="28"/>
        </w:rPr>
        <w:t>23</w:t>
      </w:r>
      <w:r>
        <w:rPr>
          <w:sz w:val="28"/>
          <w:szCs w:val="28"/>
        </w:rPr>
        <w:t>/</w:t>
      </w:r>
      <w:r w:rsidR="00640E30">
        <w:rPr>
          <w:sz w:val="28"/>
          <w:szCs w:val="28"/>
        </w:rPr>
        <w:t>2</w:t>
      </w:r>
      <w:r w:rsidRPr="0035031B">
        <w:rPr>
          <w:sz w:val="28"/>
          <w:szCs w:val="28"/>
        </w:rPr>
        <w:t xml:space="preserve"> «Об обнародовании проекта </w:t>
      </w:r>
      <w:r>
        <w:rPr>
          <w:sz w:val="28"/>
          <w:szCs w:val="28"/>
        </w:rPr>
        <w:t>решения об исполнении  бюджета Полтавского сельского поселения Красноармейского района  за 20</w:t>
      </w:r>
      <w:r w:rsidR="00640E30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назначении даты публичных слушаний по обсуждению  проекта решения об исполнении бюджета Полтавского сельского поселения Красноармейского района за 20</w:t>
      </w:r>
      <w:r w:rsidR="00640E30">
        <w:rPr>
          <w:sz w:val="28"/>
          <w:szCs w:val="28"/>
        </w:rPr>
        <w:t>20</w:t>
      </w:r>
      <w:r>
        <w:rPr>
          <w:sz w:val="28"/>
          <w:szCs w:val="28"/>
        </w:rPr>
        <w:t xml:space="preserve"> год»</w:t>
      </w:r>
      <w:r w:rsidRPr="0035031B">
        <w:rPr>
          <w:sz w:val="28"/>
          <w:szCs w:val="28"/>
        </w:rPr>
        <w:t xml:space="preserve"> обнародовано в период с </w:t>
      </w:r>
      <w:r>
        <w:rPr>
          <w:sz w:val="28"/>
          <w:szCs w:val="28"/>
        </w:rPr>
        <w:t>2</w:t>
      </w:r>
      <w:r w:rsidR="00640E30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</w:t>
      </w:r>
      <w:r w:rsidRPr="0035031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40E30">
        <w:rPr>
          <w:sz w:val="28"/>
          <w:szCs w:val="28"/>
        </w:rPr>
        <w:t>1</w:t>
      </w:r>
      <w:r w:rsidRPr="0035031B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</w:t>
      </w:r>
      <w:r w:rsidR="00640E30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</w:t>
      </w:r>
      <w:r w:rsidRPr="0035031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40E30">
        <w:rPr>
          <w:sz w:val="28"/>
          <w:szCs w:val="28"/>
        </w:rPr>
        <w:t>1</w:t>
      </w:r>
      <w:r w:rsidRPr="0035031B">
        <w:rPr>
          <w:sz w:val="28"/>
          <w:szCs w:val="28"/>
        </w:rPr>
        <w:t xml:space="preserve"> года в установленном порядке.</w:t>
      </w:r>
    </w:p>
    <w:p w:rsidR="006A1135" w:rsidRPr="0035031B" w:rsidRDefault="006A1135" w:rsidP="00110FED">
      <w:pPr>
        <w:pStyle w:val="a4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031B">
        <w:rPr>
          <w:sz w:val="28"/>
          <w:szCs w:val="28"/>
        </w:rPr>
        <w:t xml:space="preserve">В установленный в решении  период  </w:t>
      </w:r>
      <w:r>
        <w:rPr>
          <w:sz w:val="28"/>
          <w:szCs w:val="28"/>
        </w:rPr>
        <w:t xml:space="preserve">каких-либо </w:t>
      </w:r>
      <w:r w:rsidRPr="0035031B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35031B">
        <w:rPr>
          <w:sz w:val="28"/>
          <w:szCs w:val="28"/>
        </w:rPr>
        <w:t xml:space="preserve"> </w:t>
      </w:r>
      <w:r>
        <w:rPr>
          <w:sz w:val="28"/>
          <w:szCs w:val="28"/>
        </w:rPr>
        <w:t>о дополнениях  и (или) изменениях к обнародованному  проекту отчета об исполнении   бюджета Полтавского сельского поселения Красноармейского района  за 20</w:t>
      </w:r>
      <w:r w:rsidR="00640E30">
        <w:rPr>
          <w:sz w:val="28"/>
          <w:szCs w:val="28"/>
        </w:rPr>
        <w:t>20</w:t>
      </w:r>
      <w:r>
        <w:rPr>
          <w:sz w:val="28"/>
          <w:szCs w:val="28"/>
        </w:rPr>
        <w:t xml:space="preserve"> год  в  организационный комитет  не поступало.</w:t>
      </w:r>
    </w:p>
    <w:p w:rsidR="006A1135" w:rsidRDefault="006A1135" w:rsidP="00110FED">
      <w:pPr>
        <w:pStyle w:val="a4"/>
        <w:spacing w:after="0"/>
        <w:jc w:val="both"/>
        <w:rPr>
          <w:sz w:val="28"/>
          <w:szCs w:val="28"/>
        </w:rPr>
      </w:pPr>
    </w:p>
    <w:p w:rsidR="006A1135" w:rsidRPr="0035031B" w:rsidRDefault="006A1135" w:rsidP="00110FED">
      <w:pPr>
        <w:pStyle w:val="a4"/>
        <w:spacing w:after="0"/>
        <w:jc w:val="both"/>
        <w:rPr>
          <w:sz w:val="28"/>
          <w:szCs w:val="28"/>
        </w:rPr>
      </w:pPr>
    </w:p>
    <w:p w:rsidR="006A1135" w:rsidRDefault="006A1135" w:rsidP="00110FED">
      <w:pPr>
        <w:pStyle w:val="a4"/>
        <w:spacing w:after="0"/>
        <w:jc w:val="both"/>
        <w:rPr>
          <w:sz w:val="28"/>
          <w:szCs w:val="28"/>
          <w:lang w:eastAsia="ar-SA"/>
        </w:rPr>
      </w:pPr>
      <w:r w:rsidRPr="0035031B">
        <w:rPr>
          <w:sz w:val="28"/>
          <w:szCs w:val="28"/>
        </w:rPr>
        <w:lastRenderedPageBreak/>
        <w:t xml:space="preserve">          </w:t>
      </w:r>
      <w:r w:rsidRPr="0035031B">
        <w:rPr>
          <w:b/>
          <w:sz w:val="28"/>
          <w:szCs w:val="28"/>
          <w:lang w:eastAsia="ar-SA"/>
        </w:rPr>
        <w:t>Организационный комитет решил:</w:t>
      </w:r>
      <w:r w:rsidRPr="0035031B">
        <w:rPr>
          <w:sz w:val="28"/>
          <w:szCs w:val="28"/>
          <w:lang w:eastAsia="ar-SA"/>
        </w:rPr>
        <w:t xml:space="preserve"> </w:t>
      </w:r>
    </w:p>
    <w:p w:rsidR="006A1135" w:rsidRPr="0035031B" w:rsidRDefault="006A1135" w:rsidP="00110FED">
      <w:pPr>
        <w:pStyle w:val="a4"/>
        <w:spacing w:after="0"/>
        <w:jc w:val="both"/>
        <w:rPr>
          <w:sz w:val="28"/>
          <w:szCs w:val="28"/>
          <w:lang w:eastAsia="ar-SA"/>
        </w:rPr>
      </w:pPr>
    </w:p>
    <w:p w:rsidR="006A1135" w:rsidRPr="0035031B" w:rsidRDefault="006A1135" w:rsidP="00110FED">
      <w:pPr>
        <w:pStyle w:val="ConsPlusNormal"/>
        <w:widowControl/>
        <w:numPr>
          <w:ilvl w:val="0"/>
          <w:numId w:val="11"/>
        </w:numPr>
        <w:autoSpaceDE/>
        <w:spacing w:after="200" w:line="276" w:lineRule="auto"/>
        <w:ind w:firstLine="491"/>
        <w:jc w:val="both"/>
        <w:rPr>
          <w:rFonts w:ascii="Times New Roman" w:hAnsi="Times New Roman"/>
          <w:sz w:val="28"/>
          <w:szCs w:val="28"/>
        </w:rPr>
      </w:pPr>
      <w:r w:rsidRPr="0035031B">
        <w:rPr>
          <w:rFonts w:ascii="Times New Roman" w:hAnsi="Times New Roman"/>
          <w:sz w:val="28"/>
          <w:szCs w:val="28"/>
        </w:rPr>
        <w:t xml:space="preserve">Направить настоящий протокол публичных слушаний и итоговый документ (заключение) о результатах публичных слушаний с приложением всех материалов в Совет Полтавского сельского поселения Красноармейского района; </w:t>
      </w:r>
    </w:p>
    <w:p w:rsidR="006A1135" w:rsidRDefault="006A1135" w:rsidP="00110F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Pr="0035031B">
        <w:rPr>
          <w:rFonts w:ascii="Times New Roman" w:hAnsi="Times New Roman"/>
          <w:sz w:val="28"/>
          <w:szCs w:val="28"/>
        </w:rPr>
        <w:t>рекомендовать Совету Полтавского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 xml:space="preserve">   принять </w:t>
      </w:r>
      <w:r w:rsidRPr="00350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B72EB">
        <w:rPr>
          <w:rFonts w:ascii="Times New Roman" w:hAnsi="Times New Roman" w:cs="Times New Roman"/>
          <w:sz w:val="28"/>
          <w:szCs w:val="28"/>
        </w:rPr>
        <w:t>отчета об исполнении   бюджета Полтавского сельского поселения Красноармейского района  за 20</w:t>
      </w:r>
      <w:r w:rsidR="00640E3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5B72E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03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1135" w:rsidRPr="00110FED" w:rsidRDefault="006A1135" w:rsidP="00110FED">
      <w:pPr>
        <w:rPr>
          <w:lang w:eastAsia="fa-IR" w:bidi="fa-IR"/>
        </w:rPr>
      </w:pPr>
    </w:p>
    <w:p w:rsidR="006A1135" w:rsidRPr="0035031B" w:rsidRDefault="006A1135" w:rsidP="00110FED">
      <w:pPr>
        <w:pStyle w:val="ConsPlusNormal"/>
        <w:widowControl/>
        <w:numPr>
          <w:ilvl w:val="0"/>
          <w:numId w:val="13"/>
        </w:numPr>
        <w:autoSpaceDE/>
        <w:spacing w:after="200" w:line="276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35031B">
        <w:rPr>
          <w:rFonts w:ascii="Times New Roman" w:hAnsi="Times New Roman"/>
          <w:sz w:val="28"/>
          <w:szCs w:val="28"/>
        </w:rPr>
        <w:t>обнародовать итоговый документ (заключение) о результатах публичных слушаний в порядке, установленном для официального опубликования (обнародования) муниципальных правовых актов.</w:t>
      </w:r>
    </w:p>
    <w:p w:rsidR="006A1135" w:rsidRDefault="006A1135" w:rsidP="00110FED">
      <w:pPr>
        <w:pStyle w:val="a4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6A1135" w:rsidRPr="007F7CF6" w:rsidRDefault="006A1135" w:rsidP="00110FED">
      <w:pPr>
        <w:pStyle w:val="a4"/>
        <w:tabs>
          <w:tab w:val="left" w:pos="851"/>
        </w:tabs>
        <w:spacing w:after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7308"/>
        <w:gridCol w:w="2520"/>
      </w:tblGrid>
      <w:tr w:rsidR="006A1135" w:rsidRPr="007F7CF6">
        <w:tc>
          <w:tcPr>
            <w:tcW w:w="7308" w:type="dxa"/>
          </w:tcPr>
          <w:p w:rsidR="006A1135" w:rsidRDefault="006A11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A1135" w:rsidRPr="007F7CF6" w:rsidRDefault="006A11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  <w:r w:rsidRPr="007F7CF6">
              <w:rPr>
                <w:sz w:val="28"/>
                <w:szCs w:val="28"/>
              </w:rPr>
              <w:t xml:space="preserve">организационного комитета </w:t>
            </w:r>
          </w:p>
          <w:p w:rsidR="006A1135" w:rsidRDefault="006A11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6A1135" w:rsidRPr="007F7CF6" w:rsidRDefault="006A11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6A1135" w:rsidRPr="007F7CF6" w:rsidRDefault="006A11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  <w:r w:rsidRPr="007F7CF6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520" w:type="dxa"/>
          </w:tcPr>
          <w:p w:rsidR="006A1135" w:rsidRPr="007F7CF6" w:rsidRDefault="006A1135" w:rsidP="007F7CF6">
            <w:pPr>
              <w:pStyle w:val="1"/>
              <w:tabs>
                <w:tab w:val="left" w:pos="567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7CF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</w:p>
          <w:p w:rsidR="006A1135" w:rsidRPr="007F7CF6" w:rsidRDefault="006A1135" w:rsidP="00A45744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Гористов</w:t>
            </w:r>
          </w:p>
          <w:p w:rsidR="006A1135" w:rsidRPr="007F7CF6" w:rsidRDefault="006A1135" w:rsidP="00A45744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6A1135" w:rsidRDefault="006A1135" w:rsidP="00A45744">
            <w:pPr>
              <w:pStyle w:val="1"/>
              <w:tabs>
                <w:tab w:val="left" w:pos="567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7CF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</w:p>
          <w:p w:rsidR="006A1135" w:rsidRPr="007F7CF6" w:rsidRDefault="006A1135" w:rsidP="00A45744">
            <w:pPr>
              <w:pStyle w:val="1"/>
              <w:tabs>
                <w:tab w:val="left" w:pos="567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Л.М.Кузнецова</w:t>
            </w:r>
          </w:p>
        </w:tc>
      </w:tr>
    </w:tbl>
    <w:p w:rsidR="006A1135" w:rsidRPr="007F7CF6" w:rsidRDefault="006A1135" w:rsidP="007F7CF6">
      <w:pPr>
        <w:pStyle w:val="11"/>
        <w:tabs>
          <w:tab w:val="left" w:pos="567"/>
        </w:tabs>
        <w:jc w:val="both"/>
        <w:rPr>
          <w:sz w:val="28"/>
          <w:szCs w:val="28"/>
        </w:rPr>
      </w:pPr>
    </w:p>
    <w:sectPr w:rsidR="006A1135" w:rsidRPr="007F7CF6" w:rsidSect="007F7CF6">
      <w:headerReference w:type="default" r:id="rId8"/>
      <w:footnotePr>
        <w:pos w:val="beneathText"/>
      </w:footnotePr>
      <w:pgSz w:w="11905" w:h="16837"/>
      <w:pgMar w:top="851" w:right="567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E5" w:rsidRPr="00314F21" w:rsidRDefault="00EA4CE5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separator/>
      </w:r>
    </w:p>
  </w:endnote>
  <w:endnote w:type="continuationSeparator" w:id="0">
    <w:p w:rsidR="00EA4CE5" w:rsidRPr="00314F21" w:rsidRDefault="00EA4CE5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E5" w:rsidRPr="00314F21" w:rsidRDefault="00EA4CE5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separator/>
      </w:r>
    </w:p>
  </w:footnote>
  <w:footnote w:type="continuationSeparator" w:id="0">
    <w:p w:rsidR="00EA4CE5" w:rsidRPr="00314F21" w:rsidRDefault="00EA4CE5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35" w:rsidRDefault="00EA4CE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0E30">
      <w:rPr>
        <w:noProof/>
      </w:rPr>
      <w:t>2</w:t>
    </w:r>
    <w:r>
      <w:rPr>
        <w:noProof/>
      </w:rPr>
      <w:fldChar w:fldCharType="end"/>
    </w:r>
  </w:p>
  <w:p w:rsidR="006A1135" w:rsidRDefault="006A11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C8C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9A5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E8DF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8AD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5C1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D8F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5C8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A0D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A8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A27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076FFC"/>
    <w:multiLevelType w:val="hybridMultilevel"/>
    <w:tmpl w:val="B3FEB3C2"/>
    <w:lvl w:ilvl="0" w:tplc="7E8C38C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8DC4507"/>
    <w:multiLevelType w:val="hybridMultilevel"/>
    <w:tmpl w:val="D0A2551E"/>
    <w:lvl w:ilvl="0" w:tplc="0FC2C39C">
      <w:start w:val="3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6810776C"/>
    <w:multiLevelType w:val="hybridMultilevel"/>
    <w:tmpl w:val="D15C6CEA"/>
    <w:lvl w:ilvl="0" w:tplc="7740601E">
      <w:start w:val="4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74D"/>
    <w:rsid w:val="00044559"/>
    <w:rsid w:val="00080263"/>
    <w:rsid w:val="00095F5B"/>
    <w:rsid w:val="000B4715"/>
    <w:rsid w:val="000C674D"/>
    <w:rsid w:val="000C74EE"/>
    <w:rsid w:val="00110FED"/>
    <w:rsid w:val="001C38C9"/>
    <w:rsid w:val="001D0841"/>
    <w:rsid w:val="001D0D66"/>
    <w:rsid w:val="001D56BC"/>
    <w:rsid w:val="001E3DB3"/>
    <w:rsid w:val="001F361E"/>
    <w:rsid w:val="001F3E13"/>
    <w:rsid w:val="00236BA4"/>
    <w:rsid w:val="002467C3"/>
    <w:rsid w:val="0025647C"/>
    <w:rsid w:val="002A3E57"/>
    <w:rsid w:val="002D5EC6"/>
    <w:rsid w:val="00314F21"/>
    <w:rsid w:val="0035031B"/>
    <w:rsid w:val="00393805"/>
    <w:rsid w:val="003A322A"/>
    <w:rsid w:val="00477EF6"/>
    <w:rsid w:val="004D768F"/>
    <w:rsid w:val="004F444E"/>
    <w:rsid w:val="00564937"/>
    <w:rsid w:val="00580FD9"/>
    <w:rsid w:val="00583B0A"/>
    <w:rsid w:val="005B31DE"/>
    <w:rsid w:val="005B72EB"/>
    <w:rsid w:val="005E34B1"/>
    <w:rsid w:val="00601F27"/>
    <w:rsid w:val="00640E30"/>
    <w:rsid w:val="006A1135"/>
    <w:rsid w:val="006F1900"/>
    <w:rsid w:val="007327F7"/>
    <w:rsid w:val="00762430"/>
    <w:rsid w:val="007A51B8"/>
    <w:rsid w:val="007C16A0"/>
    <w:rsid w:val="007F7CF6"/>
    <w:rsid w:val="0081597F"/>
    <w:rsid w:val="00852A3C"/>
    <w:rsid w:val="00871DEC"/>
    <w:rsid w:val="009C5BD1"/>
    <w:rsid w:val="009D0D0E"/>
    <w:rsid w:val="009D116C"/>
    <w:rsid w:val="009F6B55"/>
    <w:rsid w:val="00A201C8"/>
    <w:rsid w:val="00A45744"/>
    <w:rsid w:val="00A75E2B"/>
    <w:rsid w:val="00AA2FC3"/>
    <w:rsid w:val="00AA391D"/>
    <w:rsid w:val="00AF3A82"/>
    <w:rsid w:val="00AF5BCE"/>
    <w:rsid w:val="00B65CB7"/>
    <w:rsid w:val="00B76F50"/>
    <w:rsid w:val="00B8700B"/>
    <w:rsid w:val="00BA15BD"/>
    <w:rsid w:val="00BC4137"/>
    <w:rsid w:val="00BD4C99"/>
    <w:rsid w:val="00C2438C"/>
    <w:rsid w:val="00C424A6"/>
    <w:rsid w:val="00C42E98"/>
    <w:rsid w:val="00CF239E"/>
    <w:rsid w:val="00D600BF"/>
    <w:rsid w:val="00E13A92"/>
    <w:rsid w:val="00E17699"/>
    <w:rsid w:val="00E27341"/>
    <w:rsid w:val="00E5681C"/>
    <w:rsid w:val="00E77237"/>
    <w:rsid w:val="00E834D2"/>
    <w:rsid w:val="00EA4CE5"/>
    <w:rsid w:val="00EB6CF9"/>
    <w:rsid w:val="00ED76F5"/>
    <w:rsid w:val="00EF0772"/>
    <w:rsid w:val="00F07C55"/>
    <w:rsid w:val="00F95AB8"/>
    <w:rsid w:val="00FA4242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4D"/>
    <w:pPr>
      <w:widowControl w:val="0"/>
      <w:suppressAutoHyphens/>
    </w:pPr>
    <w:rPr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5B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4F21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1597F"/>
    <w:pPr>
      <w:keepNext/>
      <w:tabs>
        <w:tab w:val="num" w:pos="720"/>
      </w:tabs>
      <w:ind w:firstLine="900"/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3A9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314F21"/>
    <w:rPr>
      <w:rFonts w:ascii="Cambria" w:hAnsi="Cambria" w:cs="Cambria"/>
      <w:b/>
      <w:bCs/>
      <w:color w:val="4F81BD"/>
      <w:kern w:val="1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1597F"/>
    <w:rPr>
      <w:rFonts w:ascii="Arial" w:hAnsi="Arial" w:cs="Arial"/>
      <w:b/>
      <w:bCs/>
      <w:kern w:val="1"/>
      <w:sz w:val="24"/>
      <w:szCs w:val="24"/>
    </w:rPr>
  </w:style>
  <w:style w:type="paragraph" w:customStyle="1" w:styleId="11">
    <w:name w:val="Текст1"/>
    <w:basedOn w:val="a"/>
    <w:uiPriority w:val="99"/>
    <w:rsid w:val="000C674D"/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0C674D"/>
    <w:pPr>
      <w:widowControl w:val="0"/>
      <w:suppressAutoHyphens/>
      <w:ind w:right="19772"/>
    </w:pPr>
    <w:rPr>
      <w:rFonts w:ascii="Courier New" w:hAnsi="Courier New" w:cs="Courier New"/>
      <w:kern w:val="1"/>
      <w:lang w:eastAsia="ar-SA"/>
    </w:rPr>
  </w:style>
  <w:style w:type="paragraph" w:customStyle="1" w:styleId="ConsTitle">
    <w:name w:val="ConsTitle"/>
    <w:uiPriority w:val="99"/>
    <w:rsid w:val="000C674D"/>
    <w:pPr>
      <w:widowControl w:val="0"/>
      <w:suppressAutoHyphens/>
      <w:ind w:right="19772"/>
    </w:pPr>
    <w:rPr>
      <w:rFonts w:ascii="Arial" w:hAnsi="Arial" w:cs="Arial"/>
      <w:b/>
      <w:bCs/>
      <w:kern w:val="1"/>
      <w:sz w:val="16"/>
      <w:szCs w:val="16"/>
      <w:lang w:eastAsia="ar-SA"/>
    </w:rPr>
  </w:style>
  <w:style w:type="paragraph" w:styleId="a3">
    <w:name w:val="Subtitle"/>
    <w:basedOn w:val="a"/>
    <w:next w:val="a4"/>
    <w:link w:val="a5"/>
    <w:uiPriority w:val="99"/>
    <w:qFormat/>
    <w:rsid w:val="000C674D"/>
    <w:pPr>
      <w:widowControl/>
      <w:suppressAutoHyphens w:val="0"/>
      <w:jc w:val="center"/>
    </w:pPr>
    <w:rPr>
      <w:rFonts w:eastAsia="Times New Roman"/>
      <w:kern w:val="0"/>
      <w:lang w:eastAsia="ar-SA"/>
    </w:rPr>
  </w:style>
  <w:style w:type="character" w:customStyle="1" w:styleId="a5">
    <w:name w:val="Подзаголовок Знак"/>
    <w:link w:val="a3"/>
    <w:uiPriority w:val="99"/>
    <w:locked/>
    <w:rsid w:val="000C674D"/>
    <w:rPr>
      <w:rFonts w:eastAsia="Times New Roman" w:cs="Times New Roman"/>
      <w:sz w:val="20"/>
      <w:szCs w:val="20"/>
      <w:lang w:eastAsia="ar-SA" w:bidi="ar-SA"/>
    </w:rPr>
  </w:style>
  <w:style w:type="paragraph" w:styleId="a4">
    <w:name w:val="Body Text"/>
    <w:basedOn w:val="a"/>
    <w:link w:val="a6"/>
    <w:uiPriority w:val="99"/>
    <w:rsid w:val="000C674D"/>
    <w:pPr>
      <w:spacing w:after="120"/>
    </w:pPr>
  </w:style>
  <w:style w:type="character" w:customStyle="1" w:styleId="a6">
    <w:name w:val="Основной текст Знак"/>
    <w:link w:val="a4"/>
    <w:uiPriority w:val="99"/>
    <w:locked/>
    <w:rsid w:val="000C674D"/>
    <w:rPr>
      <w:rFonts w:eastAsia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rsid w:val="0081597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81597F"/>
    <w:rPr>
      <w:rFonts w:eastAsia="Times New Roman" w:cs="Times New Roman"/>
      <w:kern w:val="1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1597F"/>
    <w:pPr>
      <w:ind w:firstLine="90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314F21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314F21"/>
    <w:pPr>
      <w:ind w:firstLine="900"/>
    </w:pPr>
    <w:rPr>
      <w:sz w:val="28"/>
      <w:szCs w:val="28"/>
    </w:rPr>
  </w:style>
  <w:style w:type="paragraph" w:styleId="a9">
    <w:name w:val="header"/>
    <w:basedOn w:val="a"/>
    <w:link w:val="aa"/>
    <w:uiPriority w:val="99"/>
    <w:rsid w:val="00314F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14F21"/>
    <w:rPr>
      <w:rFonts w:eastAsia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314F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314F21"/>
    <w:rPr>
      <w:rFonts w:eastAsia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601F27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customStyle="1" w:styleId="12">
    <w:name w:val="Название объекта1"/>
    <w:basedOn w:val="a"/>
    <w:uiPriority w:val="99"/>
    <w:rsid w:val="009C5BD1"/>
    <w:pPr>
      <w:widowControl/>
      <w:spacing w:line="100" w:lineRule="atLeast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433</Words>
  <Characters>2470</Characters>
  <Application>Microsoft Office Word</Application>
  <DocSecurity>0</DocSecurity>
  <Lines>20</Lines>
  <Paragraphs>5</Paragraphs>
  <ScaleCrop>false</ScaleCrop>
  <Company>ADMUHUCTPALLU9I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(заключение)</dc:title>
  <dc:subject/>
  <dc:creator>deryavko</dc:creator>
  <cp:keywords/>
  <dc:description/>
  <cp:lastModifiedBy>Glavbuh</cp:lastModifiedBy>
  <cp:revision>8</cp:revision>
  <cp:lastPrinted>2017-04-26T14:04:00Z</cp:lastPrinted>
  <dcterms:created xsi:type="dcterms:W3CDTF">2016-05-14T14:38:00Z</dcterms:created>
  <dcterms:modified xsi:type="dcterms:W3CDTF">2021-04-08T08:51:00Z</dcterms:modified>
</cp:coreProperties>
</file>