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C607D9" w:rsidRDefault="00C607D9" w:rsidP="00C60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Некоторые аспекты предоставления государственных услуг Росреестра</w:t>
      </w:r>
    </w:p>
    <w:bookmarkEnd w:id="0"/>
    <w:p w:rsidR="00E277B8" w:rsidRDefault="00E277B8" w:rsidP="00E277B8">
      <w:pPr>
        <w:spacing w:line="340" w:lineRule="exact"/>
        <w:ind w:right="-1" w:firstLine="709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</w:p>
    <w:p w:rsidR="00A6797F" w:rsidRDefault="00E277B8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131445</wp:posOffset>
            </wp:positionV>
            <wp:extent cx="2951480" cy="1419225"/>
            <wp:effectExtent l="0" t="0" r="1270" b="9525"/>
            <wp:wrapThrough wrapText="bothSides">
              <wp:wrapPolygon edited="0">
                <wp:start x="0" y="0"/>
                <wp:lineTo x="0" y="21455"/>
                <wp:lineTo x="21470" y="21455"/>
                <wp:lineTo x="214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емельный_ филиа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>Федеральный закон от 13.07.2015 № 218-ФЗ «О государственной регистрации недвижимости» (далее – Единый закон), который вступил в силу с 01.01.2017, объединил в единую информационную систему все действия по оформлению недвижимости в рамках учетно-регистрационной процедуры – от кадастрового учета до получения документов о праве собственности.</w:t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noProof/>
          <w:color w:val="000000"/>
        </w:rPr>
        <w:t xml:space="preserve">Единым законом определено обстоятельство, при котором в </w:t>
      </w:r>
      <w:r w:rsidRPr="00C607D9">
        <w:rPr>
          <w:rFonts w:ascii="Segoe UI" w:hAnsi="Segoe UI" w:cs="Segoe UI"/>
          <w:bCs/>
          <w:noProof/>
          <w:color w:val="000000"/>
        </w:rPr>
        <w:t xml:space="preserve">приеме документов </w:t>
      </w:r>
      <w:hyperlink r:id="rId8" w:history="1">
        <w:r w:rsidRPr="00C607D9">
          <w:rPr>
            <w:rFonts w:ascii="Segoe UI" w:hAnsi="Segoe UI" w:cs="Segoe UI"/>
            <w:bCs/>
            <w:noProof/>
            <w:color w:val="000000"/>
          </w:rPr>
          <w:t>отказывают</w:t>
        </w:r>
      </w:hyperlink>
      <w:r w:rsidRPr="00C607D9">
        <w:rPr>
          <w:rFonts w:ascii="Segoe UI" w:hAnsi="Segoe UI" w:cs="Segoe UI"/>
          <w:bCs/>
          <w:noProof/>
          <w:color w:val="000000"/>
        </w:rPr>
        <w:t>, – если не установлена личность заявителя, который непосредственно обратился с документами (например, не предъявлен паспорт).</w:t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Также в Едином законе уточнен перечень </w:t>
      </w:r>
      <w:hyperlink r:id="rId9" w:history="1">
        <w:r w:rsidRPr="00C607D9">
          <w:rPr>
            <w:rFonts w:ascii="Segoe UI" w:hAnsi="Segoe UI" w:cs="Segoe UI"/>
            <w:bCs/>
            <w:noProof/>
            <w:color w:val="000000"/>
          </w:rPr>
          <w:t>оснований</w:t>
        </w:r>
      </w:hyperlink>
      <w:r w:rsidRPr="00C607D9">
        <w:rPr>
          <w:rFonts w:ascii="Segoe UI" w:hAnsi="Segoe UI" w:cs="Segoe UI"/>
          <w:bCs/>
          <w:noProof/>
          <w:color w:val="000000"/>
        </w:rPr>
        <w:t xml:space="preserve"> для возврата заявления и документов без рассмотрения. К ним, в частности, относятся:</w:t>
      </w:r>
    </w:p>
    <w:p w:rsidR="00C607D9" w:rsidRPr="00C607D9" w:rsidRDefault="00C607D9" w:rsidP="00C607D9">
      <w:pPr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 заявление и документы представлены в форме электронных документов, электронных образов документов в формате, не соответствующем формату, установленному органом нормативно-правового регулирования;</w:t>
      </w:r>
    </w:p>
    <w:p w:rsidR="00C607D9" w:rsidRPr="00C607D9" w:rsidRDefault="00C607D9" w:rsidP="00C607D9">
      <w:pPr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 заявление и документы представлены в форме документов на бумажном носителе и имеют подчистки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содержание;</w:t>
      </w:r>
    </w:p>
    <w:p w:rsidR="00C607D9" w:rsidRPr="00C607D9" w:rsidRDefault="00C607D9" w:rsidP="00C607D9">
      <w:pPr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заявителем;</w:t>
      </w:r>
    </w:p>
    <w:p w:rsidR="00C607D9" w:rsidRPr="00C607D9" w:rsidRDefault="00C607D9" w:rsidP="00C607D9">
      <w:pPr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лицом;</w:t>
      </w:r>
    </w:p>
    <w:p w:rsidR="00C607D9" w:rsidRPr="00C607D9" w:rsidRDefault="00C607D9" w:rsidP="00C607D9">
      <w:pPr>
        <w:numPr>
          <w:ilvl w:val="0"/>
          <w:numId w:val="3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 заявление о государственном кадастровом учете и (или) государственной регистрации прав не подписано заявителем в соответствии с законодательством Российской Федерации.</w:t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 xml:space="preserve">Помимо прочего в Едином законе содержится подробный перечень </w:t>
      </w:r>
      <w:hyperlink r:id="rId10" w:history="1">
        <w:r w:rsidRPr="00C607D9">
          <w:rPr>
            <w:rFonts w:ascii="Segoe UI" w:hAnsi="Segoe UI" w:cs="Segoe UI"/>
            <w:bCs/>
            <w:noProof/>
            <w:color w:val="000000"/>
          </w:rPr>
          <w:t>оснований</w:t>
        </w:r>
      </w:hyperlink>
      <w:r w:rsidRPr="00C607D9">
        <w:rPr>
          <w:rFonts w:ascii="Segoe UI" w:hAnsi="Segoe UI" w:cs="Segoe UI"/>
          <w:bCs/>
          <w:noProof/>
          <w:color w:val="000000"/>
        </w:rPr>
        <w:t>, по которым учетно-регистрационные действия могут быть приостановлены.</w:t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hyperlink r:id="rId11" w:history="1">
        <w:r w:rsidRPr="00C607D9">
          <w:rPr>
            <w:rFonts w:ascii="Segoe UI" w:hAnsi="Segoe UI" w:cs="Segoe UI"/>
            <w:bCs/>
            <w:noProof/>
            <w:color w:val="000000"/>
          </w:rPr>
          <w:t>Срок</w:t>
        </w:r>
      </w:hyperlink>
      <w:r w:rsidRPr="00C607D9">
        <w:rPr>
          <w:rFonts w:ascii="Segoe UI" w:hAnsi="Segoe UI" w:cs="Segoe UI"/>
          <w:bCs/>
          <w:noProof/>
          <w:color w:val="000000"/>
        </w:rPr>
        <w:t xml:space="preserve"> приостановления осуществления государственного кадастрового учета не изменился. При этом предусмотрен срок его приостановления в заявительном порядке.</w:t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>Так, сроки приостановления учета объектов и государственной регистрации теперь составляют:</w:t>
      </w:r>
    </w:p>
    <w:p w:rsidR="00C607D9" w:rsidRPr="00C607D9" w:rsidRDefault="00C607D9" w:rsidP="00C607D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hyperlink r:id="rId12" w:history="1">
        <w:r w:rsidRPr="00C607D9">
          <w:rPr>
            <w:rFonts w:ascii="Segoe UI" w:hAnsi="Segoe UI" w:cs="Segoe UI"/>
            <w:bCs/>
            <w:noProof/>
            <w:color w:val="000000"/>
          </w:rPr>
          <w:t>три месяца</w:t>
        </w:r>
      </w:hyperlink>
      <w:r w:rsidRPr="00C607D9">
        <w:rPr>
          <w:rFonts w:ascii="Segoe UI" w:hAnsi="Segoe UI" w:cs="Segoe UI"/>
          <w:bCs/>
          <w:noProof/>
          <w:color w:val="000000"/>
        </w:rPr>
        <w:t xml:space="preserve"> – по решению государственного регистратора прав (за исключением отдельных оснований, для которых предусмотрены иные сроки приостановления);</w:t>
      </w:r>
    </w:p>
    <w:p w:rsidR="00C607D9" w:rsidRPr="00C607D9" w:rsidRDefault="00C607D9" w:rsidP="00C607D9">
      <w:pPr>
        <w:numPr>
          <w:ilvl w:val="0"/>
          <w:numId w:val="4"/>
        </w:numPr>
        <w:spacing w:after="0" w:line="228" w:lineRule="auto"/>
        <w:ind w:left="0" w:firstLine="709"/>
        <w:jc w:val="both"/>
        <w:rPr>
          <w:rFonts w:ascii="Segoe UI" w:hAnsi="Segoe UI" w:cs="Segoe UI"/>
          <w:bCs/>
          <w:noProof/>
          <w:color w:val="000000"/>
        </w:rPr>
      </w:pPr>
      <w:hyperlink r:id="rId13" w:history="1">
        <w:r w:rsidRPr="00C607D9">
          <w:rPr>
            <w:rFonts w:ascii="Segoe UI" w:hAnsi="Segoe UI" w:cs="Segoe UI"/>
            <w:bCs/>
            <w:noProof/>
            <w:color w:val="000000"/>
          </w:rPr>
          <w:t>шесть месяцев</w:t>
        </w:r>
      </w:hyperlink>
      <w:r w:rsidRPr="00C607D9">
        <w:rPr>
          <w:rFonts w:ascii="Segoe UI" w:hAnsi="Segoe UI" w:cs="Segoe UI"/>
          <w:bCs/>
          <w:noProof/>
          <w:color w:val="000000"/>
        </w:rPr>
        <w:t xml:space="preserve"> – по инициативе заявителя. При этом в </w:t>
      </w:r>
      <w:hyperlink r:id="rId14" w:history="1">
        <w:r w:rsidRPr="00C607D9">
          <w:rPr>
            <w:rFonts w:ascii="Segoe UI" w:hAnsi="Segoe UI" w:cs="Segoe UI"/>
            <w:bCs/>
            <w:noProof/>
            <w:color w:val="000000"/>
          </w:rPr>
          <w:t>Законе</w:t>
        </w:r>
      </w:hyperlink>
      <w:r w:rsidRPr="00C607D9">
        <w:rPr>
          <w:rFonts w:ascii="Segoe UI" w:hAnsi="Segoe UI" w:cs="Segoe UI"/>
          <w:bCs/>
          <w:noProof/>
          <w:color w:val="000000"/>
        </w:rPr>
        <w:t xml:space="preserve"> уточнено, что по заявлению приостановление возможно только один раз.</w:t>
      </w:r>
    </w:p>
    <w:p w:rsidR="00C607D9" w:rsidRPr="00C607D9" w:rsidRDefault="00C607D9" w:rsidP="00C607D9">
      <w:pPr>
        <w:spacing w:after="0" w:line="228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C607D9">
        <w:rPr>
          <w:rFonts w:ascii="Segoe UI" w:hAnsi="Segoe UI" w:cs="Segoe UI"/>
          <w:bCs/>
          <w:noProof/>
          <w:color w:val="000000"/>
        </w:rPr>
        <w:t>Если в течение срока приостановления не устранены причины, послужившие основанием для приостановления, в проведении государственного кадастрового учета и (или) государственной регистрации отказывают по решению государственного регистратора прав.</w:t>
      </w: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D4" w:rsidRDefault="00BE4CD4" w:rsidP="00B51CF4">
      <w:pPr>
        <w:spacing w:after="0" w:line="240" w:lineRule="auto"/>
      </w:pPr>
      <w:r>
        <w:separator/>
      </w:r>
    </w:p>
  </w:endnote>
  <w:endnote w:type="continuationSeparator" w:id="0">
    <w:p w:rsidR="00BE4CD4" w:rsidRDefault="00BE4CD4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D4" w:rsidRDefault="00BE4CD4" w:rsidP="00B51CF4">
      <w:pPr>
        <w:spacing w:after="0" w:line="240" w:lineRule="auto"/>
      </w:pPr>
      <w:r>
        <w:separator/>
      </w:r>
    </w:p>
  </w:footnote>
  <w:footnote w:type="continuationSeparator" w:id="0">
    <w:p w:rsidR="00BE4CD4" w:rsidRDefault="00BE4CD4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36406"/>
    <w:rsid w:val="00691289"/>
    <w:rsid w:val="006F523B"/>
    <w:rsid w:val="00715DF8"/>
    <w:rsid w:val="007763D0"/>
    <w:rsid w:val="007832E4"/>
    <w:rsid w:val="007A13C3"/>
    <w:rsid w:val="00844985"/>
    <w:rsid w:val="008522E3"/>
    <w:rsid w:val="008F1EA7"/>
    <w:rsid w:val="008F49AC"/>
    <w:rsid w:val="009416B6"/>
    <w:rsid w:val="009A5C5E"/>
    <w:rsid w:val="00A6797F"/>
    <w:rsid w:val="00AB5B79"/>
    <w:rsid w:val="00AE2B97"/>
    <w:rsid w:val="00AE485D"/>
    <w:rsid w:val="00B51CF4"/>
    <w:rsid w:val="00BB5993"/>
    <w:rsid w:val="00BE4CD4"/>
    <w:rsid w:val="00C0532A"/>
    <w:rsid w:val="00C2030A"/>
    <w:rsid w:val="00C340E0"/>
    <w:rsid w:val="00C60441"/>
    <w:rsid w:val="00C607D9"/>
    <w:rsid w:val="00C6704B"/>
    <w:rsid w:val="00D47B17"/>
    <w:rsid w:val="00D90D70"/>
    <w:rsid w:val="00DA4E20"/>
    <w:rsid w:val="00E206EC"/>
    <w:rsid w:val="00E277B8"/>
    <w:rsid w:val="00E75263"/>
    <w:rsid w:val="00EC7F90"/>
    <w:rsid w:val="00F3377E"/>
    <w:rsid w:val="00F5442A"/>
    <w:rsid w:val="00F923D7"/>
    <w:rsid w:val="00F959EE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2FB4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81FF6534D1BA18D0639729B67043AD12E24F46992D4852938BB5339A1AD3A8B98D0A758C2AED9o1GFL" TargetMode="External"/><Relationship Id="rId13" Type="http://schemas.openxmlformats.org/officeDocument/2006/relationships/hyperlink" Target="consultantplus://offline/ref=4A8A4D3FCD1201EB38B14EA459AC03DEA023D5E37EDA496908B71EA32AC5833EB9719705980DF77A0D0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4A8A4D3FCD1201EB38B14EA459AC03DEA023D5E37EDA496908B71EA32AC5833EB9719705980DF77E0D09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8A4D3FCD1201EB38B14EA459AC03DEA32AD2E579D3496908B71EA32AC5833EB9719705980DF17E0D0F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3E024B0FB331913EA59603DDFF4B2B93D86D75286B5243103C5F8546EF3C649C3BF4B913DE7934BF2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281FF6534D1BA18D0639729B67043AD12E24F46992D4852938BB5339A1AD3A8B98D0A758C2AFD7o1G9L" TargetMode="External"/><Relationship Id="rId14" Type="http://schemas.openxmlformats.org/officeDocument/2006/relationships/hyperlink" Target="consultantplus://offline/ref=4A8A4D3FCD1201EB38B14EA459AC03DEA023D5E37EDA496908B71EA32A0C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2018-03-12T16:20:00Z</dcterms:created>
  <dcterms:modified xsi:type="dcterms:W3CDTF">2018-03-12T16:20:00Z</dcterms:modified>
</cp:coreProperties>
</file>